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7FBB0">
      <w:pPr>
        <w:numPr>
          <w:ilvl w:val="0"/>
          <w:numId w:val="0"/>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eastAsia="zh-CN"/>
        </w:rPr>
        <w:t>第一章</w:t>
      </w:r>
      <w:r>
        <w:rPr>
          <w:rFonts w:hint="eastAsia" w:ascii="方正小标宋简体" w:hAnsi="方正小标宋简体" w:eastAsia="方正小标宋简体" w:cs="方正小标宋简体"/>
          <w:b/>
          <w:bCs/>
          <w:sz w:val="32"/>
          <w:szCs w:val="32"/>
          <w:lang w:val="en-US" w:eastAsia="zh-CN"/>
        </w:rPr>
        <w:t xml:space="preserve"> 报价商务部分</w:t>
      </w:r>
    </w:p>
    <w:p w14:paraId="5F636FFC">
      <w:pPr>
        <w:numPr>
          <w:ilvl w:val="0"/>
          <w:numId w:val="0"/>
        </w:numPr>
        <w:spacing w:line="360" w:lineRule="auto"/>
        <w:ind w:firstLine="482"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一、报价保证金</w:t>
      </w:r>
    </w:p>
    <w:p w14:paraId="7FE67ECB">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报价保证金为¥0.4万元（肆仟元整），到账截止时间为2025年9月1日10:00，报价保证金应在到账截止时间前存入四川泸州川南发电有限责任公司基本账户。</w:t>
      </w:r>
    </w:p>
    <w:p w14:paraId="683EA9A9">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p>
    <w:p w14:paraId="6BFAEA66">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p>
    <w:p w14:paraId="54410583">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14:paraId="04F04E6F">
      <w:pPr>
        <w:pStyle w:val="4"/>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Cs w:val="24"/>
        </w:rPr>
      </w:pPr>
      <w:r>
        <w:rPr>
          <w:rFonts w:hint="eastAsia" w:ascii="仿宋_GB2312" w:hAnsi="仿宋_GB2312" w:eastAsia="仿宋_GB2312" w:cs="仿宋_GB2312"/>
          <w:kern w:val="2"/>
          <w:szCs w:val="24"/>
          <w:lang w:eastAsia="zh"/>
        </w:rPr>
        <w:t>2.</w:t>
      </w:r>
      <w:r>
        <w:rPr>
          <w:rFonts w:hint="eastAsia" w:ascii="仿宋_GB2312" w:hAnsi="仿宋_GB2312" w:eastAsia="仿宋_GB2312" w:cs="仿宋_GB2312"/>
          <w:kern w:val="2"/>
          <w:szCs w:val="24"/>
        </w:rPr>
        <w:t>报价人须将报价保证金存入以上账户，非报价人账户存入的，其报价文件不被采购人接受。采购人在与中选人签订书面合同后的30日内退还</w:t>
      </w:r>
      <w:r>
        <w:rPr>
          <w:rFonts w:hint="eastAsia" w:ascii="仿宋_GB2312" w:hAnsi="仿宋_GB2312" w:eastAsia="仿宋_GB2312" w:cs="仿宋_GB2312"/>
          <w:kern w:val="2"/>
          <w:szCs w:val="24"/>
          <w:lang w:eastAsia="zh-CN"/>
        </w:rPr>
        <w:t>未</w:t>
      </w:r>
      <w:r>
        <w:rPr>
          <w:rFonts w:hint="eastAsia" w:ascii="仿宋_GB2312" w:hAnsi="仿宋_GB2312" w:eastAsia="仿宋_GB2312" w:cs="仿宋_GB2312"/>
          <w:kern w:val="2"/>
          <w:szCs w:val="24"/>
        </w:rPr>
        <w:t>中选人报价保证金（无息），采购人在中选单位不与采购人签订书面合同或签</w:t>
      </w:r>
      <w:bookmarkStart w:id="0" w:name="_GoBack"/>
      <w:bookmarkEnd w:id="0"/>
      <w:r>
        <w:rPr>
          <w:rFonts w:hint="eastAsia" w:ascii="仿宋_GB2312" w:hAnsi="仿宋_GB2312" w:eastAsia="仿宋_GB2312" w:cs="仿宋_GB2312"/>
          <w:kern w:val="2"/>
          <w:szCs w:val="24"/>
        </w:rPr>
        <w:t>订书面合同过程中对项目实质性条款提出变更的，采购人有权按照项目评审排名选择与下一顺位报价人签订书面合同。</w:t>
      </w:r>
    </w:p>
    <w:p w14:paraId="326EB046">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.发生下列情形之一的，</w:t>
      </w:r>
      <w:r>
        <w:rPr>
          <w:rFonts w:hint="eastAsia" w:ascii="仿宋_GB2312" w:hAnsi="仿宋_GB2312" w:eastAsia="仿宋_GB2312" w:cs="仿宋_GB2312"/>
          <w:sz w:val="24"/>
          <w:szCs w:val="24"/>
          <w:lang w:val="en-US" w:eastAsia="zh"/>
        </w:rPr>
        <w:t>采购</w:t>
      </w:r>
      <w:r>
        <w:rPr>
          <w:rFonts w:hint="eastAsia" w:ascii="仿宋_GB2312" w:hAnsi="仿宋_GB2312" w:eastAsia="仿宋_GB2312" w:cs="仿宋_GB2312"/>
          <w:sz w:val="24"/>
          <w:szCs w:val="24"/>
          <w:lang w:val="en-US" w:eastAsia="zh-CN"/>
        </w:rPr>
        <w:t>人有权取消其中选资格（已签订书面合同的，采购人有权单方解除合同），已收取的报价保证金不予退还：</w:t>
      </w:r>
    </w:p>
    <w:p w14:paraId="7666BB67">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.1中选人在采购人发出中选通知书之日起30日内未按照竞争性谈判文件实质性内容与采购人签订合同；</w:t>
      </w:r>
    </w:p>
    <w:p w14:paraId="6613BB3D">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.2中选人因自身原因放弃中选资格的；</w:t>
      </w:r>
    </w:p>
    <w:p w14:paraId="58A668E2">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.3中选人未按照竞争性谈判文件要求向采购人缴纳履约保证金的；</w:t>
      </w:r>
    </w:p>
    <w:p w14:paraId="1F2ED710">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.4报价人违反竞争性谈判文件规定的报价纪律的。</w:t>
      </w:r>
    </w:p>
    <w:p w14:paraId="1AC2A44C">
      <w:pPr>
        <w:pStyle w:val="4"/>
        <w:keepNext w:val="0"/>
        <w:keepLines w:val="0"/>
        <w:pageBreakBefore w:val="0"/>
        <w:widowControl w:val="0"/>
        <w:numPr>
          <w:ilvl w:val="0"/>
          <w:numId w:val="0"/>
        </w:numPr>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14:paraId="284A63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14:paraId="051A40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1.1合同签订后，乙方向甲方</w:t>
      </w:r>
      <w:r>
        <w:rPr>
          <w:rFonts w:hint="eastAsia" w:ascii="仿宋_GB2312" w:hAnsi="仿宋_GB2312" w:eastAsia="仿宋_GB2312" w:cs="仿宋_GB2312"/>
          <w:sz w:val="24"/>
          <w:szCs w:val="24"/>
          <w:lang w:val="en-US" w:eastAsia="zh"/>
        </w:rPr>
        <w:t>交纳履约保证金并</w:t>
      </w:r>
      <w:r>
        <w:rPr>
          <w:rFonts w:hint="eastAsia" w:ascii="仿宋_GB2312" w:hAnsi="仿宋_GB2312" w:eastAsia="仿宋_GB2312" w:cs="仿宋_GB2312"/>
          <w:sz w:val="24"/>
          <w:szCs w:val="24"/>
          <w:lang w:val="en-US" w:eastAsia="zh-CN"/>
        </w:rPr>
        <w:t>提交合同含税总金额10%的收据后，甲方向乙方支付相应金额的预付款（预付款中包含安全文明施工费）；</w:t>
      </w:r>
    </w:p>
    <w:p w14:paraId="2A8410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1.2本项目竣工验收并通过甲方审核通过后，乙方向甲方提交付款申请和《有关按时支付项目工资、劳务费等费用的承诺书》（详见附件）并开具合同</w:t>
      </w:r>
      <w:r>
        <w:rPr>
          <w:rFonts w:hint="eastAsia" w:ascii="仿宋_GB2312" w:hAnsi="仿宋_GB2312" w:eastAsia="仿宋_GB2312" w:cs="仿宋_GB2312"/>
          <w:sz w:val="24"/>
          <w:szCs w:val="24"/>
          <w:lang w:val="en-US" w:eastAsia="zh"/>
        </w:rPr>
        <w:t>含税总</w:t>
      </w:r>
      <w:r>
        <w:rPr>
          <w:rFonts w:hint="eastAsia" w:ascii="仿宋_GB2312" w:hAnsi="仿宋_GB2312" w:eastAsia="仿宋_GB2312" w:cs="仿宋_GB2312"/>
          <w:sz w:val="24"/>
          <w:szCs w:val="24"/>
          <w:lang w:val="en-US" w:eastAsia="zh-CN"/>
        </w:rPr>
        <w:t>金额100%的增值税专用发票后30日内，甲方向乙方支付至合同含税总金额的95%；</w:t>
      </w:r>
    </w:p>
    <w:p w14:paraId="1051C2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合同含税总金额的5％为质保金。质保期为2年（自本项目经甲方验收合格之日起算），质保期满并经甲方相关部门确认无质量问题、乙方向甲方提交付款申请单且出具相应金额收据后30日内，甲方向乙方支付质保金（无息）。</w:t>
      </w:r>
    </w:p>
    <w:p w14:paraId="6428BA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1.4甲方向乙方支付相应价款时，有权扣除乙方被甲方考核的费用。</w:t>
      </w:r>
    </w:p>
    <w:p w14:paraId="271C72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本项目涉及设备费、材料费、施工费</w:t>
      </w:r>
      <w:r>
        <w:rPr>
          <w:rFonts w:hint="eastAsia" w:ascii="仿宋_GB2312" w:hAnsi="仿宋_GB2312" w:eastAsia="仿宋_GB2312" w:cs="仿宋_GB2312"/>
          <w:sz w:val="24"/>
          <w:szCs w:val="24"/>
          <w:lang w:eastAsia="zh"/>
        </w:rPr>
        <w:t>（含拆安）</w:t>
      </w:r>
      <w:r>
        <w:rPr>
          <w:rFonts w:hint="eastAsia" w:ascii="仿宋_GB2312" w:hAnsi="仿宋_GB2312" w:eastAsia="仿宋_GB2312" w:cs="仿宋_GB2312"/>
          <w:sz w:val="24"/>
          <w:szCs w:val="24"/>
          <w:lang w:eastAsia="zh-CN"/>
        </w:rPr>
        <w:t>、运输费、人工费、方案费、措施费、</w:t>
      </w:r>
      <w:r>
        <w:rPr>
          <w:rFonts w:hint="eastAsia" w:ascii="仿宋_GB2312" w:hAnsi="仿宋_GB2312" w:eastAsia="仿宋_GB2312" w:cs="仿宋_GB2312"/>
          <w:sz w:val="24"/>
          <w:szCs w:val="24"/>
          <w:lang w:eastAsia="zh"/>
        </w:rPr>
        <w:t>交通</w:t>
      </w:r>
      <w:r>
        <w:rPr>
          <w:rFonts w:hint="eastAsia" w:ascii="仿宋_GB2312" w:hAnsi="仿宋_GB2312" w:eastAsia="仿宋_GB2312" w:cs="仿宋_GB2312"/>
          <w:sz w:val="24"/>
          <w:szCs w:val="24"/>
          <w:lang w:eastAsia="zh-CN"/>
        </w:rPr>
        <w:t>费、管理费、食宿费、利润、保险费、安全生产费、职业病预防治费、风险费以及其他政策性文件规定的费用、进场费等完成本项目全部工作所需的全部费用均包含在“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w:t>
      </w:r>
    </w:p>
    <w:p w14:paraId="520441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14:paraId="01782A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14:paraId="4D0C3E67">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管理及违约责任</w:t>
      </w:r>
      <w:r>
        <w:rPr>
          <w:rFonts w:hint="eastAsia" w:ascii="仿宋_GB2312" w:hAnsi="仿宋_GB2312" w:eastAsia="仿宋_GB2312" w:cs="仿宋_GB2312"/>
          <w:b/>
          <w:bCs/>
          <w:sz w:val="24"/>
          <w:szCs w:val="24"/>
          <w:lang w:eastAsia="zh-CN"/>
        </w:rPr>
        <w:t>（实质性条款）</w:t>
      </w:r>
    </w:p>
    <w:p w14:paraId="50D702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本项目需在合同签订后15日完成设备交货，现场施工工期为30日，具体施工时间以甲方提前通知为准，乙方须无条件满足甲方对工期的要求。</w:t>
      </w:r>
    </w:p>
    <w:p w14:paraId="5562D6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val="en-US" w:eastAsia="zh"/>
        </w:rPr>
        <w:t>供货要求、</w:t>
      </w:r>
      <w:r>
        <w:rPr>
          <w:rFonts w:hint="eastAsia" w:ascii="仿宋_GB2312" w:hAnsi="仿宋_GB2312" w:eastAsia="仿宋_GB2312" w:cs="仿宋_GB2312"/>
          <w:sz w:val="24"/>
          <w:szCs w:val="24"/>
          <w:lang w:val="en-US" w:eastAsia="zh-CN"/>
        </w:rPr>
        <w:t>工作范围及工作要求：</w:t>
      </w:r>
      <w:r>
        <w:rPr>
          <w:rFonts w:hint="eastAsia" w:ascii="仿宋_GB2312" w:hAnsi="仿宋_GB2312" w:eastAsia="仿宋_GB2312" w:cs="仿宋_GB2312"/>
          <w:sz w:val="24"/>
          <w:szCs w:val="24"/>
          <w:lang w:val="en-US" w:eastAsia="zh"/>
          <w:woUserID w:val="1"/>
        </w:rPr>
        <w:t>乙方向甲方提交的工作成果应满足《技术规范书》的要求，</w:t>
      </w:r>
      <w:r>
        <w:rPr>
          <w:rFonts w:hint="eastAsia" w:ascii="仿宋_GB2312" w:hAnsi="仿宋_GB2312" w:eastAsia="仿宋_GB2312" w:cs="仿宋_GB2312"/>
          <w:sz w:val="24"/>
          <w:szCs w:val="24"/>
          <w:lang w:val="en-US" w:eastAsia="zh-CN"/>
        </w:rPr>
        <w:t>详见《技术规范书》</w:t>
      </w:r>
      <w:r>
        <w:rPr>
          <w:rFonts w:hint="eastAsia" w:ascii="仿宋_GB2312" w:hAnsi="仿宋_GB2312" w:eastAsia="仿宋_GB2312" w:cs="仿宋_GB2312"/>
          <w:sz w:val="24"/>
          <w:szCs w:val="24"/>
          <w:lang w:val="en-US" w:eastAsia="zh"/>
        </w:rPr>
        <w:t>。</w:t>
      </w:r>
    </w:p>
    <w:p w14:paraId="74C57D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val="en-US" w:eastAsia="zh"/>
        </w:rPr>
        <w:t>.质保责任。在质保期内，在质保期内出现非甲方人为原因导致设备故障及损坏，由乙方免费负责维修</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
        </w:rPr>
        <w:t>更换，乙方处理后仍不能满足质量要求的，由甲方委托第三方进行处理，所产生的费用由乙方承担。</w:t>
      </w:r>
    </w:p>
    <w:p w14:paraId="2A8CF2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4.乙方负责项目所需设备、材料的供货，该等货物在经甲方验收合格前，由乙方承担货物毁损、灭失、盗窃等一切风险及货物运输风险，乙方应保证所供货物通过甲方验收并正常使用。</w:t>
      </w:r>
    </w:p>
    <w:p w14:paraId="1672E0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安全管理协议》《环保管理协议》以及其他相关管理制度要求（包括甲方已发布和合同期内新发布的所有规章制度）。</w:t>
      </w:r>
    </w:p>
    <w:p w14:paraId="6A5A87C1">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
          <w:woUserID w:val="1"/>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lang w:val="en-US" w:eastAsia="zh"/>
          <w:woUserID w:val="1"/>
        </w:rPr>
        <w:t>乙方应按时足额向其项目工作人员发放劳务费、工资等费用，依法为其项目工作人员缴纳社保，在合同期内，若本项目发生乙方项目工作人员、劳务工讨薪或因未依法缴纳社保被追责等情形，甲方有权将乙方列入甲方不合格供应商名单。</w:t>
      </w:r>
    </w:p>
    <w:p w14:paraId="2E80FD0F">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rPr>
        <w:t>乙方未在考核通知规定时限内缴纳考核款的，根据甲方制度将加倍考核，甲方将从乙方应得款项中扣除上述考核款。</w:t>
      </w:r>
    </w:p>
    <w:p w14:paraId="7DB55513">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本项目不接受负偏差，但因国家法律法规或政策规定需调整的除外。</w:t>
      </w:r>
    </w:p>
    <w:p w14:paraId="60E2AE1D">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若乙方委派人员的数量、技能、工器具等不能满足本项目要求或因劳动劳务纠纷、工资支付、社保缴纳等问题导致项目工作无法正常进行，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14:paraId="65361994">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双方任何一方因安全管理不到位，或安全措施未正确完善执行，或人员违章，或环保措施未正确完善执行，或职业病防治设施投入不到位等原因于甲方生产现场发生人身、设备事故（含损坏设备事故），或职业病事故，或环保事故，事故责任由责任方承担，因此给非责任方造成的直接损失由责任方负责赔偿。如非责任方因此承担责任的，非责任方有权向责任方追偿。</w:t>
      </w:r>
    </w:p>
    <w:p w14:paraId="60981059">
      <w:pPr>
        <w:pStyle w:val="2"/>
        <w:ind w:firstLine="480" w:firstLineChars="200"/>
        <w:rPr>
          <w:rFonts w:hint="eastAsia"/>
          <w:lang w:val="en-US" w:eastAsia="zh-CN"/>
        </w:rPr>
      </w:pPr>
      <w:r>
        <w:rPr>
          <w:rFonts w:hint="eastAsia" w:ascii="仿宋_GB2312" w:hAnsi="仿宋_GB2312" w:eastAsia="仿宋_GB2312" w:cs="仿宋_GB2312"/>
          <w:sz w:val="24"/>
          <w:szCs w:val="24"/>
          <w:lang w:val="en-US" w:eastAsia="zh-CN"/>
        </w:rPr>
        <w:t>11.乙方未按照合同履行义务，给甲方造成损失的，乙方应承担损害赔偿责任。</w:t>
      </w:r>
    </w:p>
    <w:p w14:paraId="43C43CC9">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履约保证金</w:t>
      </w:r>
    </w:p>
    <w:p w14:paraId="0C8900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en-US" w:eastAsia="zh"/>
        </w:rPr>
        <w:t>合同签订后，</w:t>
      </w:r>
      <w:r>
        <w:rPr>
          <w:rFonts w:hint="eastAsia" w:ascii="仿宋_GB2312" w:hAnsi="仿宋_GB2312" w:eastAsia="仿宋_GB2312" w:cs="仿宋_GB2312"/>
          <w:sz w:val="24"/>
          <w:szCs w:val="24"/>
          <w:lang w:val="en-US" w:eastAsia="zh-CN"/>
        </w:rPr>
        <w:t>由中选人的报价保证金直接转为履约保证金。</w:t>
      </w:r>
    </w:p>
    <w:p w14:paraId="32191C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履约保证金退还：合同项目全部竣工验收通过，乙方提交的退还履约保证金申请及相应金额收据通过甲方审核后30日内，甲方向乙方退还通过甲方审核的履约保证金（无息）；但如还存在合同争端，则履约保证金的有效期应延长到上述争端最终解决且所有理赔完毕。</w:t>
      </w:r>
    </w:p>
    <w:p w14:paraId="6B0FD0B4">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
        </w:rPr>
      </w:pPr>
      <w:r>
        <w:rPr>
          <w:rFonts w:hint="eastAsia" w:ascii="仿宋_GB2312" w:hAnsi="仿宋_GB2312" w:eastAsia="仿宋_GB2312" w:cs="仿宋_GB2312"/>
          <w:b/>
          <w:bCs/>
          <w:sz w:val="24"/>
          <w:szCs w:val="24"/>
          <w:lang w:val="en-US" w:eastAsia="zh-CN"/>
        </w:rPr>
        <w:t>五</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eastAsia="zh"/>
        </w:rPr>
        <w:t>合同解除</w:t>
      </w:r>
    </w:p>
    <w:p w14:paraId="72C46A0D">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1.因乙方原因导致合同解除的，甲方有权不</w:t>
      </w:r>
      <w:r>
        <w:rPr>
          <w:rFonts w:hint="eastAsia" w:ascii="仿宋_GB2312" w:eastAsia="仿宋_GB2312" w:cs="仿宋_GB2312"/>
          <w:kern w:val="2"/>
          <w:sz w:val="24"/>
          <w:szCs w:val="24"/>
          <w:lang w:val="en-US" w:eastAsia="zh" w:bidi="ar"/>
        </w:rPr>
        <w:t>向</w:t>
      </w:r>
      <w:r>
        <w:rPr>
          <w:rFonts w:hint="eastAsia" w:ascii="仿宋_GB2312" w:hAnsi="Calibri" w:eastAsia="仿宋_GB2312" w:cs="仿宋_GB2312"/>
          <w:kern w:val="2"/>
          <w:sz w:val="24"/>
          <w:szCs w:val="24"/>
          <w:lang w:val="en-US" w:eastAsia="zh-CN" w:bidi="ar"/>
        </w:rPr>
        <w:t>其退还履约保证金。</w:t>
      </w:r>
    </w:p>
    <w:p w14:paraId="17C2D514">
      <w:pPr>
        <w:keepNext w:val="0"/>
        <w:keepLines w:val="0"/>
        <w:pageBreakBefore w:val="0"/>
        <w:widowControl w:val="0"/>
        <w:kinsoku/>
        <w:wordWrap/>
        <w:overflowPunct/>
        <w:topLinePunct w:val="0"/>
        <w:autoSpaceDE w:val="0"/>
        <w:autoSpaceDN/>
        <w:bidi w:val="0"/>
        <w:snapToGrid/>
        <w:spacing w:line="480" w:lineRule="exact"/>
        <w:ind w:firstLine="480" w:firstLineChars="200"/>
        <w:rPr>
          <w:rFonts w:hint="eastAsia" w:ascii="仿宋_GB2312" w:hAnsi="仿宋_GB2312" w:eastAsia="仿宋_GB2312" w:cs="仿宋_GB2312"/>
          <w:b/>
          <w:bCs/>
          <w:sz w:val="24"/>
          <w:szCs w:val="24"/>
          <w:lang w:eastAsia="zh"/>
        </w:rPr>
      </w:pPr>
      <w:r>
        <w:rPr>
          <w:rFonts w:hint="eastAsia" w:ascii="仿宋_GB2312" w:eastAsia="仿宋_GB2312" w:cs="仿宋_GB2312"/>
          <w:kern w:val="2"/>
          <w:sz w:val="24"/>
          <w:szCs w:val="24"/>
          <w:lang w:val="en-US" w:eastAsia="zh-CN" w:bidi="ar"/>
        </w:rPr>
        <w:t>2</w:t>
      </w:r>
      <w:r>
        <w:rPr>
          <w:rFonts w:hint="eastAsia" w:ascii="仿宋_GB2312" w:hAnsi="Calibri" w:eastAsia="仿宋_GB2312" w:cs="仿宋_GB2312"/>
          <w:kern w:val="2"/>
          <w:sz w:val="24"/>
          <w:szCs w:val="24"/>
          <w:lang w:val="en-US" w:eastAsia="zh-CN" w:bidi="ar"/>
        </w:rPr>
        <w:t>.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14:paraId="360FBBFA">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六</w:t>
      </w:r>
      <w:r>
        <w:rPr>
          <w:rFonts w:hint="eastAsia" w:ascii="仿宋_GB2312" w:hAnsi="仿宋_GB2312" w:eastAsia="仿宋_GB2312" w:cs="仿宋_GB2312"/>
          <w:b/>
          <w:bCs/>
          <w:sz w:val="24"/>
          <w:szCs w:val="24"/>
          <w:lang w:eastAsia="zh-CN"/>
        </w:rPr>
        <w:t>、报价、谈判纪律</w:t>
      </w:r>
    </w:p>
    <w:p w14:paraId="18FC742A">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报价人不得相互串通报价，不得排挤其他报价人公平竞争，不得干扰采购人的评审谈判工作，不得以任何形式打探和搜集评审谈判情况，不得与采购人、同类项目单位串通报价，损害国家利益，社会公共利益或者他人利益。</w:t>
      </w:r>
    </w:p>
    <w:p w14:paraId="69970060">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2.报价人只能通过竞争性谈判公告允许的方式向采购人送达报价文件，否则采购人有权不接受该报价。 </w:t>
      </w:r>
    </w:p>
    <w:p w14:paraId="06EE8B70">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val="en-US" w:eastAsia="zh-CN"/>
        </w:rPr>
        <w:t>3.严禁报价人向采购人及其工作人员、同类项目单位及其工作人员以行贿的手段谋取中选。</w:t>
      </w:r>
    </w:p>
    <w:p w14:paraId="30C6B9ED">
      <w:pPr>
        <w:keepNext w:val="0"/>
        <w:keepLines w:val="0"/>
        <w:pageBreakBefore w:val="0"/>
        <w:widowControl w:val="0"/>
        <w:kinsoku/>
        <w:wordWrap/>
        <w:overflowPunct/>
        <w:topLinePunct w:val="0"/>
        <w:autoSpaceDE/>
        <w:autoSpaceDN/>
        <w:bidi w:val="0"/>
        <w:snapToGrid/>
        <w:spacing w:line="360" w:lineRule="auto"/>
        <w:jc w:val="righ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14:paraId="57A25534">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1BBA8409">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0F8926EB">
      <w:pPr>
        <w:pStyle w:val="10"/>
        <w:rPr>
          <w:rFonts w:hint="eastAsia" w:ascii="仿宋_GB2312" w:hAnsi="仿宋_GB2312" w:eastAsia="仿宋_GB2312" w:cs="仿宋_GB2312"/>
          <w:b/>
          <w:bCs/>
          <w:color w:val="auto"/>
          <w:sz w:val="24"/>
          <w:szCs w:val="24"/>
          <w:highlight w:val="none"/>
          <w:lang w:eastAsia="zh-CN"/>
        </w:rPr>
      </w:pPr>
    </w:p>
    <w:p w14:paraId="0A8E5265">
      <w:pPr>
        <w:pStyle w:val="10"/>
        <w:rPr>
          <w:rFonts w:hint="eastAsia" w:ascii="仿宋_GB2312" w:hAnsi="仿宋_GB2312" w:eastAsia="仿宋_GB2312" w:cs="仿宋_GB2312"/>
          <w:b/>
          <w:bCs/>
          <w:color w:val="auto"/>
          <w:sz w:val="24"/>
          <w:szCs w:val="24"/>
          <w:highlight w:val="none"/>
          <w:lang w:eastAsia="zh-CN"/>
        </w:rPr>
      </w:pPr>
    </w:p>
    <w:p w14:paraId="4488E7DB">
      <w:pPr>
        <w:pStyle w:val="10"/>
        <w:rPr>
          <w:rFonts w:hint="eastAsia" w:ascii="仿宋_GB2312" w:hAnsi="仿宋_GB2312" w:eastAsia="仿宋_GB2312" w:cs="仿宋_GB2312"/>
          <w:b/>
          <w:bCs/>
          <w:color w:val="auto"/>
          <w:sz w:val="24"/>
          <w:szCs w:val="24"/>
          <w:highlight w:val="none"/>
          <w:lang w:eastAsia="zh-CN"/>
        </w:rPr>
      </w:pPr>
    </w:p>
    <w:p w14:paraId="5B80430E">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495839AD">
      <w:pPr>
        <w:pStyle w:val="10"/>
        <w:rPr>
          <w:rFonts w:hint="eastAsia" w:ascii="仿宋_GB2312" w:hAnsi="仿宋_GB2312" w:eastAsia="仿宋_GB2312" w:cs="仿宋_GB2312"/>
          <w:b/>
          <w:bCs/>
          <w:color w:val="auto"/>
          <w:sz w:val="24"/>
          <w:szCs w:val="24"/>
          <w:highlight w:val="none"/>
          <w:lang w:eastAsia="zh-CN"/>
        </w:rPr>
      </w:pPr>
    </w:p>
    <w:p w14:paraId="357C7A8C">
      <w:pPr>
        <w:pStyle w:val="10"/>
        <w:rPr>
          <w:rFonts w:hint="eastAsia" w:ascii="仿宋_GB2312" w:hAnsi="仿宋_GB2312" w:eastAsia="仿宋_GB2312" w:cs="仿宋_GB2312"/>
          <w:b/>
          <w:bCs/>
          <w:color w:val="auto"/>
          <w:sz w:val="24"/>
          <w:szCs w:val="24"/>
          <w:highlight w:val="none"/>
          <w:lang w:eastAsia="zh-CN"/>
        </w:rPr>
      </w:pPr>
    </w:p>
    <w:p w14:paraId="3ABCB186">
      <w:pPr>
        <w:keepNext w:val="0"/>
        <w:keepLines w:val="0"/>
        <w:pageBreakBefore w:val="0"/>
        <w:widowControl/>
        <w:kinsoku/>
        <w:wordWrap/>
        <w:overflowPunct/>
        <w:topLinePunct w:val="0"/>
        <w:autoSpaceDE/>
        <w:autoSpaceDN/>
        <w:bidi w:val="0"/>
        <w:adjustRightInd/>
        <w:snapToGrid/>
        <w:spacing w:before="0" w:beforeLines="-2147483648" w:beforeAutospacing="0" w:after="0" w:afterLines="-2147483648" w:afterAutospacing="0" w:line="240" w:lineRule="auto"/>
        <w:jc w:val="left"/>
        <w:textAlignment w:val="auto"/>
        <w:outlineLvl w:val="9"/>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br w:type="page"/>
      </w:r>
    </w:p>
    <w:p w14:paraId="08A8D8C3">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仿宋_GB2312" w:hAnsi="仿宋_GB2312" w:eastAsia="仿宋_GB2312" w:cs="仿宋_GB2312"/>
          <w:b/>
          <w:bCs/>
          <w:color w:val="auto"/>
          <w:sz w:val="24"/>
          <w:szCs w:val="24"/>
          <w:highlight w:val="none"/>
          <w:lang w:eastAsia="zh-CN"/>
        </w:rPr>
        <w:t>附件：</w:t>
      </w:r>
    </w:p>
    <w:p w14:paraId="549DE30D">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有关按时支付项目工资、劳务费</w:t>
      </w:r>
    </w:p>
    <w:p w14:paraId="0131C433">
      <w:pPr>
        <w:keepNext/>
        <w:keepLines/>
        <w:widowControl w:val="0"/>
        <w:bidi w:val="0"/>
        <w:spacing w:beforeLines="0" w:beforeAutospacing="0" w:afterLines="0" w:afterAutospacing="0" w:line="576" w:lineRule="exact"/>
        <w:ind w:left="0" w:leftChars="0" w:firstLine="0" w:firstLineChars="0"/>
        <w:jc w:val="center"/>
        <w:outlineLvl w:val="0"/>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等费用的承诺书（模板）</w:t>
      </w:r>
    </w:p>
    <w:p w14:paraId="5FB13E5B">
      <w:pPr>
        <w:spacing w:line="240" w:lineRule="auto"/>
        <w:ind w:firstLine="0" w:firstLineChars="0"/>
        <w:rPr>
          <w:rFonts w:hint="eastAsia" w:ascii="仿宋_GB2312" w:hAnsi="仿宋_GB2312" w:eastAsia="仿宋_GB2312" w:cs="仿宋_GB2312"/>
          <w:sz w:val="32"/>
          <w:szCs w:val="32"/>
          <w:lang w:val="en-US" w:eastAsia="zh-CN"/>
        </w:rPr>
      </w:pPr>
    </w:p>
    <w:p w14:paraId="36366021">
      <w:pPr>
        <w:spacing w:line="576" w:lineRule="exac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四川泸州川南发电有限责任公司：</w:t>
      </w:r>
    </w:p>
    <w:p w14:paraId="73579B7F">
      <w:pPr>
        <w:spacing w:line="576"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依据贵我双方签订的《XXX项目合同》（合同编号：XXX）约定，XXXX项目现已竣工并通过贵方验收，现我公司承诺我方将依法向本项目所涉及的项目工作人员、劳务人员按时足额支付工资、劳务费等费用，若上述人员因本项目发生讨薪情形的，由我公司承担全部责任。         </w:t>
      </w:r>
    </w:p>
    <w:p w14:paraId="632B3695">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w:t>
      </w:r>
    </w:p>
    <w:p w14:paraId="563E9B91">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XXXXX公司（盖公章）</w:t>
      </w:r>
    </w:p>
    <w:p w14:paraId="5732CF70">
      <w:pPr>
        <w:pStyle w:val="11"/>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年   月   日</w:t>
      </w:r>
    </w:p>
    <w:p w14:paraId="31DCDFD8">
      <w:pPr>
        <w:pStyle w:val="11"/>
        <w:jc w:val="right"/>
        <w:rPr>
          <w:rFonts w:hint="eastAsia" w:ascii="仿宋_GB2312" w:hAnsi="仿宋_GB2312" w:eastAsia="仿宋_GB2312" w:cs="仿宋_GB2312"/>
          <w:color w:val="auto"/>
          <w:sz w:val="24"/>
          <w:szCs w:val="24"/>
          <w:highlight w:val="none"/>
          <w:lang w:val="en-US" w:eastAsia="zh-CN"/>
        </w:rPr>
      </w:pPr>
    </w:p>
    <w:p w14:paraId="1E43CF95">
      <w:pPr>
        <w:pStyle w:val="11"/>
        <w:jc w:val="right"/>
        <w:rPr>
          <w:rFonts w:hint="eastAsia" w:ascii="仿宋_GB2312" w:hAnsi="仿宋_GB2312" w:eastAsia="仿宋_GB2312" w:cs="仿宋_GB2312"/>
          <w:color w:val="auto"/>
          <w:sz w:val="24"/>
          <w:szCs w:val="24"/>
          <w:highlight w:val="none"/>
          <w:lang w:val="en-US" w:eastAsia="zh-CN"/>
        </w:rPr>
      </w:pPr>
    </w:p>
    <w:p w14:paraId="7A8DA36F">
      <w:pPr>
        <w:pStyle w:val="11"/>
        <w:jc w:val="right"/>
        <w:rPr>
          <w:rFonts w:hint="eastAsia" w:ascii="仿宋_GB2312" w:hAnsi="仿宋_GB2312" w:eastAsia="仿宋_GB2312" w:cs="仿宋_GB2312"/>
          <w:color w:val="auto"/>
          <w:sz w:val="24"/>
          <w:szCs w:val="24"/>
          <w:highlight w:val="none"/>
          <w:lang w:val="en-US" w:eastAsia="zh-CN"/>
        </w:rPr>
      </w:pPr>
    </w:p>
    <w:p w14:paraId="107868BD">
      <w:pPr>
        <w:pStyle w:val="11"/>
        <w:jc w:val="right"/>
        <w:rPr>
          <w:rFonts w:hint="eastAsia" w:ascii="仿宋_GB2312" w:hAnsi="仿宋_GB2312" w:eastAsia="仿宋_GB2312" w:cs="仿宋_GB2312"/>
          <w:color w:val="auto"/>
          <w:sz w:val="24"/>
          <w:szCs w:val="24"/>
          <w:highlight w:val="none"/>
          <w:lang w:val="en-US" w:eastAsia="zh-CN"/>
        </w:rPr>
      </w:pPr>
    </w:p>
    <w:p w14:paraId="76AFDCFC">
      <w:pPr>
        <w:pStyle w:val="11"/>
        <w:jc w:val="right"/>
        <w:rPr>
          <w:rFonts w:hint="eastAsia" w:ascii="仿宋_GB2312" w:hAnsi="仿宋_GB2312" w:eastAsia="仿宋_GB2312" w:cs="仿宋_GB2312"/>
          <w:color w:val="auto"/>
          <w:sz w:val="24"/>
          <w:szCs w:val="24"/>
          <w:highlight w:val="none"/>
          <w:lang w:val="en-US" w:eastAsia="zh-CN"/>
        </w:rPr>
      </w:pPr>
    </w:p>
    <w:p w14:paraId="491A5D63">
      <w:pPr>
        <w:pStyle w:val="11"/>
        <w:jc w:val="right"/>
        <w:rPr>
          <w:rFonts w:hint="eastAsia" w:ascii="仿宋_GB2312" w:hAnsi="仿宋_GB2312" w:eastAsia="仿宋_GB2312" w:cs="仿宋_GB2312"/>
          <w:color w:val="auto"/>
          <w:sz w:val="24"/>
          <w:szCs w:val="24"/>
          <w:highlight w:val="none"/>
          <w:lang w:val="en-US" w:eastAsia="zh-CN"/>
        </w:rPr>
      </w:pPr>
    </w:p>
    <w:p w14:paraId="6589C8A1">
      <w:pPr>
        <w:pStyle w:val="11"/>
        <w:jc w:val="right"/>
        <w:rPr>
          <w:rFonts w:hint="eastAsia" w:ascii="仿宋_GB2312" w:hAnsi="仿宋_GB2312" w:eastAsia="仿宋_GB2312" w:cs="仿宋_GB2312"/>
          <w:color w:val="auto"/>
          <w:sz w:val="24"/>
          <w:szCs w:val="24"/>
          <w:highlight w:val="none"/>
          <w:lang w:val="en-US" w:eastAsia="zh-CN"/>
        </w:rPr>
      </w:pPr>
    </w:p>
    <w:p w14:paraId="2662F2AB">
      <w:pPr>
        <w:pStyle w:val="11"/>
        <w:jc w:val="right"/>
        <w:rPr>
          <w:rFonts w:hint="eastAsia" w:ascii="仿宋_GB2312" w:hAnsi="仿宋_GB2312" w:eastAsia="仿宋_GB2312" w:cs="仿宋_GB2312"/>
          <w:color w:val="auto"/>
          <w:sz w:val="24"/>
          <w:szCs w:val="24"/>
          <w:highlight w:val="none"/>
          <w:lang w:val="en-US" w:eastAsia="zh-CN"/>
        </w:rPr>
      </w:pPr>
    </w:p>
    <w:p w14:paraId="5CE7698C">
      <w:pPr>
        <w:pStyle w:val="11"/>
        <w:jc w:val="right"/>
        <w:rPr>
          <w:rFonts w:hint="eastAsia" w:ascii="仿宋_GB2312" w:hAnsi="仿宋_GB2312" w:eastAsia="仿宋_GB2312" w:cs="仿宋_GB2312"/>
          <w:color w:val="auto"/>
          <w:sz w:val="24"/>
          <w:szCs w:val="24"/>
          <w:highlight w:val="none"/>
          <w:lang w:val="en-US" w:eastAsia="zh-CN"/>
        </w:rPr>
      </w:pPr>
    </w:p>
    <w:p w14:paraId="7FB3F8E1">
      <w:pPr>
        <w:pStyle w:val="11"/>
        <w:jc w:val="right"/>
        <w:rPr>
          <w:rFonts w:hint="eastAsia" w:ascii="仿宋_GB2312" w:hAnsi="仿宋_GB2312" w:eastAsia="仿宋_GB2312" w:cs="仿宋_GB2312"/>
          <w:color w:val="auto"/>
          <w:sz w:val="24"/>
          <w:szCs w:val="24"/>
          <w:highlight w:val="none"/>
          <w:lang w:val="en-US" w:eastAsia="zh-CN"/>
        </w:rPr>
      </w:pPr>
    </w:p>
    <w:p w14:paraId="6A3D6F51">
      <w:pPr>
        <w:pStyle w:val="11"/>
        <w:jc w:val="right"/>
        <w:rPr>
          <w:rFonts w:hint="eastAsia" w:ascii="仿宋_GB2312" w:hAnsi="仿宋_GB2312" w:eastAsia="仿宋_GB2312" w:cs="仿宋_GB2312"/>
          <w:color w:val="auto"/>
          <w:sz w:val="24"/>
          <w:szCs w:val="24"/>
          <w:highlight w:val="none"/>
          <w:lang w:val="en-US" w:eastAsia="zh-CN"/>
        </w:rPr>
      </w:pPr>
    </w:p>
    <w:p w14:paraId="7FE10B74">
      <w:pPr>
        <w:pStyle w:val="11"/>
        <w:jc w:val="right"/>
        <w:rPr>
          <w:rFonts w:hint="eastAsia" w:ascii="仿宋_GB2312" w:hAnsi="仿宋_GB2312" w:eastAsia="仿宋_GB2312" w:cs="仿宋_GB2312"/>
          <w:color w:val="auto"/>
          <w:sz w:val="24"/>
          <w:szCs w:val="24"/>
          <w:highlight w:val="none"/>
          <w:lang w:val="en-US" w:eastAsia="zh-CN"/>
        </w:rPr>
      </w:pPr>
    </w:p>
    <w:p w14:paraId="6831FD4C">
      <w:pPr>
        <w:pStyle w:val="11"/>
        <w:jc w:val="right"/>
        <w:rPr>
          <w:rFonts w:hint="eastAsia" w:ascii="仿宋_GB2312" w:hAnsi="仿宋_GB2312" w:eastAsia="仿宋_GB2312" w:cs="仿宋_GB2312"/>
          <w:color w:val="auto"/>
          <w:sz w:val="24"/>
          <w:szCs w:val="24"/>
          <w:highlight w:val="none"/>
          <w:lang w:val="en-US" w:eastAsia="zh-CN"/>
        </w:rPr>
      </w:pPr>
    </w:p>
    <w:p w14:paraId="56E465CA">
      <w:pPr>
        <w:pStyle w:val="11"/>
        <w:jc w:val="right"/>
        <w:rPr>
          <w:rFonts w:hint="eastAsia" w:ascii="仿宋_GB2312" w:hAnsi="仿宋_GB2312" w:eastAsia="仿宋_GB2312" w:cs="仿宋_GB2312"/>
          <w:color w:val="auto"/>
          <w:sz w:val="24"/>
          <w:szCs w:val="24"/>
          <w:highlight w:val="none"/>
          <w:lang w:val="en-US" w:eastAsia="zh-CN"/>
        </w:rPr>
      </w:pPr>
    </w:p>
    <w:p w14:paraId="417A1E1E">
      <w:pPr>
        <w:pStyle w:val="11"/>
        <w:jc w:val="right"/>
        <w:rPr>
          <w:rFonts w:hint="eastAsia" w:ascii="仿宋_GB2312" w:hAnsi="仿宋_GB2312" w:eastAsia="仿宋_GB2312" w:cs="仿宋_GB2312"/>
          <w:color w:val="auto"/>
          <w:sz w:val="24"/>
          <w:szCs w:val="24"/>
          <w:highlight w:val="none"/>
          <w:lang w:val="en-US" w:eastAsia="zh-CN"/>
        </w:rPr>
      </w:pPr>
    </w:p>
    <w:p w14:paraId="768516E5">
      <w:pPr>
        <w:pStyle w:val="11"/>
        <w:jc w:val="right"/>
        <w:rPr>
          <w:rFonts w:hint="eastAsia" w:ascii="仿宋_GB2312" w:hAnsi="仿宋_GB2312" w:eastAsia="仿宋_GB2312" w:cs="仿宋_GB2312"/>
          <w:color w:val="auto"/>
          <w:sz w:val="24"/>
          <w:szCs w:val="24"/>
          <w:highlight w:val="none"/>
          <w:lang w:val="en-US" w:eastAsia="zh-CN"/>
        </w:rPr>
      </w:pPr>
    </w:p>
    <w:p w14:paraId="0CCEF93E">
      <w:pPr>
        <w:pStyle w:val="11"/>
        <w:jc w:val="right"/>
        <w:rPr>
          <w:rFonts w:hint="eastAsia" w:ascii="仿宋_GB2312" w:hAnsi="仿宋_GB2312" w:eastAsia="仿宋_GB2312" w:cs="仿宋_GB2312"/>
          <w:color w:val="auto"/>
          <w:sz w:val="24"/>
          <w:szCs w:val="24"/>
          <w:highlight w:val="none"/>
          <w:lang w:val="en-US" w:eastAsia="zh-CN"/>
        </w:rPr>
      </w:pPr>
    </w:p>
    <w:p w14:paraId="3CD3CE58">
      <w:pPr>
        <w:pStyle w:val="11"/>
        <w:jc w:val="right"/>
        <w:rPr>
          <w:rFonts w:hint="eastAsia" w:ascii="仿宋_GB2312" w:hAnsi="仿宋_GB2312" w:eastAsia="仿宋_GB2312" w:cs="仿宋_GB2312"/>
          <w:color w:val="auto"/>
          <w:sz w:val="24"/>
          <w:szCs w:val="24"/>
          <w:highlight w:val="none"/>
          <w:lang w:val="en-US" w:eastAsia="zh-CN"/>
        </w:rPr>
      </w:pPr>
    </w:p>
    <w:p w14:paraId="3FA72D3D">
      <w:pPr>
        <w:pStyle w:val="11"/>
        <w:jc w:val="right"/>
        <w:rPr>
          <w:rFonts w:hint="eastAsia" w:ascii="仿宋_GB2312" w:hAnsi="仿宋_GB2312" w:eastAsia="仿宋_GB2312" w:cs="仿宋_GB2312"/>
          <w:color w:val="auto"/>
          <w:sz w:val="24"/>
          <w:szCs w:val="24"/>
          <w:highlight w:val="none"/>
          <w:lang w:val="en-US" w:eastAsia="zh-CN"/>
        </w:rPr>
      </w:pPr>
    </w:p>
    <w:p w14:paraId="43D65F28">
      <w:pPr>
        <w:pStyle w:val="11"/>
        <w:jc w:val="right"/>
        <w:rPr>
          <w:rFonts w:hint="eastAsia" w:ascii="仿宋_GB2312" w:hAnsi="仿宋_GB2312" w:eastAsia="仿宋_GB2312" w:cs="仿宋_GB2312"/>
          <w:color w:val="auto"/>
          <w:sz w:val="24"/>
          <w:szCs w:val="24"/>
          <w:highlight w:val="none"/>
          <w:lang w:val="en-US" w:eastAsia="zh-CN"/>
        </w:rPr>
      </w:pPr>
    </w:p>
    <w:p w14:paraId="3096C1E0">
      <w:pPr>
        <w:pStyle w:val="11"/>
        <w:jc w:val="right"/>
        <w:rPr>
          <w:rFonts w:hint="eastAsia" w:ascii="仿宋_GB2312" w:hAnsi="仿宋_GB2312" w:eastAsia="仿宋_GB2312" w:cs="仿宋_GB2312"/>
          <w:color w:val="auto"/>
          <w:sz w:val="24"/>
          <w:szCs w:val="24"/>
          <w:highlight w:val="none"/>
          <w:lang w:val="en-US" w:eastAsia="zh-CN"/>
        </w:rPr>
      </w:pPr>
    </w:p>
    <w:p w14:paraId="42D621C7">
      <w:pPr>
        <w:pStyle w:val="11"/>
        <w:jc w:val="right"/>
        <w:rPr>
          <w:rFonts w:hint="eastAsia" w:ascii="仿宋_GB2312" w:hAnsi="仿宋_GB2312" w:eastAsia="仿宋_GB2312" w:cs="仿宋_GB2312"/>
          <w:color w:val="auto"/>
          <w:sz w:val="24"/>
          <w:szCs w:val="24"/>
          <w:highlight w:val="none"/>
          <w:lang w:val="en-US" w:eastAsia="zh-CN"/>
        </w:rPr>
      </w:pPr>
    </w:p>
    <w:p w14:paraId="2BBCD67A">
      <w:pPr>
        <w:pStyle w:val="11"/>
        <w:jc w:val="right"/>
        <w:rPr>
          <w:rFonts w:hint="eastAsia" w:ascii="仿宋_GB2312" w:hAnsi="仿宋_GB2312" w:eastAsia="仿宋_GB2312" w:cs="仿宋_GB2312"/>
          <w:color w:val="auto"/>
          <w:sz w:val="24"/>
          <w:szCs w:val="24"/>
          <w:highlight w:val="none"/>
          <w:lang w:val="en-US" w:eastAsia="zh-CN"/>
        </w:rPr>
      </w:pPr>
    </w:p>
    <w:p w14:paraId="27DC7189">
      <w:pPr>
        <w:pStyle w:val="11"/>
        <w:jc w:val="right"/>
        <w:rPr>
          <w:rFonts w:hint="eastAsia" w:ascii="仿宋_GB2312" w:hAnsi="仿宋_GB2312" w:eastAsia="仿宋_GB2312" w:cs="仿宋_GB2312"/>
          <w:color w:val="auto"/>
          <w:sz w:val="24"/>
          <w:szCs w:val="24"/>
          <w:highlight w:val="none"/>
          <w:lang w:val="en-US" w:eastAsia="zh-CN"/>
        </w:rPr>
      </w:pPr>
    </w:p>
    <w:p w14:paraId="5DA60CFD">
      <w:pPr>
        <w:pStyle w:val="11"/>
        <w:jc w:val="right"/>
        <w:rPr>
          <w:rFonts w:hint="eastAsia" w:ascii="仿宋_GB2312" w:hAnsi="仿宋_GB2312" w:eastAsia="仿宋_GB2312" w:cs="仿宋_GB2312"/>
          <w:color w:val="auto"/>
          <w:sz w:val="24"/>
          <w:szCs w:val="24"/>
          <w:highlight w:val="none"/>
          <w:lang w:val="en-US" w:eastAsia="zh-CN"/>
        </w:rPr>
      </w:pPr>
    </w:p>
    <w:p w14:paraId="0073BC91">
      <w:pPr>
        <w:pStyle w:val="11"/>
        <w:jc w:val="right"/>
        <w:rPr>
          <w:rFonts w:hint="eastAsia" w:ascii="仿宋_GB2312" w:hAnsi="仿宋_GB2312" w:eastAsia="仿宋_GB2312" w:cs="仿宋_GB2312"/>
          <w:color w:val="auto"/>
          <w:sz w:val="24"/>
          <w:szCs w:val="24"/>
          <w:highlight w:val="none"/>
          <w:lang w:val="en-US" w:eastAsia="zh-CN"/>
        </w:rPr>
      </w:pPr>
    </w:p>
    <w:p w14:paraId="677AE38F">
      <w:pPr>
        <w:pStyle w:val="11"/>
        <w:jc w:val="right"/>
        <w:rPr>
          <w:rFonts w:hint="eastAsia" w:ascii="仿宋_GB2312" w:hAnsi="仿宋_GB2312" w:eastAsia="仿宋_GB2312" w:cs="仿宋_GB2312"/>
          <w:color w:val="auto"/>
          <w:sz w:val="24"/>
          <w:szCs w:val="24"/>
          <w:highlight w:val="none"/>
          <w:lang w:val="en-US" w:eastAsia="zh-CN"/>
        </w:rPr>
      </w:pPr>
    </w:p>
    <w:p w14:paraId="0C3EF10D">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42536818">
      <w:pPr>
        <w:spacing w:line="360" w:lineRule="auto"/>
        <w:ind w:firstLine="0" w:firstLineChars="0"/>
        <w:jc w:val="center"/>
        <w:rPr>
          <w:rFonts w:hint="eastAsia" w:ascii="宋体" w:hAnsi="宋体" w:eastAsia="宋体" w:cs="宋体"/>
          <w:b/>
          <w:bCs/>
          <w:color w:val="000000"/>
          <w:spacing w:val="15"/>
          <w:kern w:val="0"/>
          <w:sz w:val="36"/>
          <w:szCs w:val="28"/>
        </w:rPr>
      </w:pPr>
      <w:r>
        <w:rPr>
          <w:rFonts w:hint="eastAsia" w:ascii="方正小标宋简体" w:hAnsi="方正小标宋简体" w:eastAsia="方正小标宋简体" w:cs="方正小标宋简体"/>
          <w:kern w:val="44"/>
          <w:sz w:val="44"/>
          <w:szCs w:val="44"/>
          <w:lang w:val="zh-CN"/>
        </w:rPr>
        <w:t>安全管理协议</w:t>
      </w:r>
    </w:p>
    <w:p w14:paraId="7BBC4AC3">
      <w:pPr>
        <w:spacing w:line="360" w:lineRule="auto"/>
        <w:ind w:firstLine="0" w:firstLineChars="0"/>
        <w:jc w:val="left"/>
        <w:rPr>
          <w:rFonts w:hint="eastAsia" w:ascii="楷体_GB2312" w:hAnsi="宋体" w:eastAsia="楷体_GB2312"/>
          <w:b/>
          <w:sz w:val="24"/>
          <w:szCs w:val="24"/>
        </w:rPr>
      </w:pPr>
    </w:p>
    <w:p w14:paraId="163D451E">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3B06059B">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bCs/>
          <w:sz w:val="24"/>
          <w:szCs w:val="24"/>
          <w:lang w:val="zh-CN"/>
        </w:rPr>
      </w:pPr>
      <w:r>
        <w:rPr>
          <w:rFonts w:hint="eastAsia" w:ascii="仿宋_GB2312" w:hAnsi="仿宋_GB2312" w:eastAsia="仿宋_GB2312" w:cs="仿宋_GB2312"/>
          <w:b/>
          <w:sz w:val="24"/>
          <w:szCs w:val="24"/>
        </w:rPr>
        <w:t>承包人（乙方）：公司</w:t>
      </w:r>
    </w:p>
    <w:p w14:paraId="5FFC4AE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安全生产法》及相关法律、法规和条例，坚持“安全第一、预防为主”的方针，强化安全管理，落实安全生产责任制，维护甲乙双方的共同利益，保证服务质量和安全生产，保持良好的工作秩序，确保合同项目按期、安全、优质、高效地完成，保障从业人员的安全健康，保障国家和投资者财产免遭损失，特签订本协议书；乙方在履行项目合同的过程中应遵循本协议的约定。</w:t>
      </w:r>
    </w:p>
    <w:p w14:paraId="59C727A9">
      <w:pPr>
        <w:keepNext w:val="0"/>
        <w:keepLines w:val="0"/>
        <w:pageBreakBefore w:val="0"/>
        <w:kinsoku/>
        <w:topLinePunct w:val="0"/>
        <w:bidi w:val="0"/>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一、安全文明生产目标</w:t>
      </w:r>
    </w:p>
    <w:p w14:paraId="045A6A5A">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（一）川南发电公司2×600MW机组安全施工管理目标：不发生人身死亡事故，并杜绝以下事故：</w:t>
      </w:r>
    </w:p>
    <w:p w14:paraId="5A0C07D5">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1.不发生人身轻伤及以上生产安全人身伤害事故；</w:t>
      </w:r>
    </w:p>
    <w:p w14:paraId="7248C16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2.不发生一般及以上设备、火灾事故；</w:t>
      </w:r>
    </w:p>
    <w:p w14:paraId="608A736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3.不发生误操作事故；</w:t>
      </w:r>
    </w:p>
    <w:p w14:paraId="784B5551">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4.不发生负同等及以上责任的一般交通事故；</w:t>
      </w:r>
    </w:p>
    <w:p w14:paraId="6E5687C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5.不发生环境污染事故和灰场垮坝事故；</w:t>
      </w:r>
    </w:p>
    <w:p w14:paraId="4F39C0C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6.不发生有重大社会影响的电力安全事件；</w:t>
      </w:r>
    </w:p>
    <w:p w14:paraId="7D380FD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7.不发生急性职业中毒事件；</w:t>
      </w:r>
    </w:p>
    <w:p w14:paraId="58B70CE6">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8.机组强迫停运次数≤1次；</w:t>
      </w:r>
    </w:p>
    <w:p w14:paraId="0A3A56B1">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9.年度实现3个百日安全生产记录。</w:t>
      </w:r>
    </w:p>
    <w:p w14:paraId="3376D16F">
      <w:pPr>
        <w:keepNext w:val="0"/>
        <w:keepLines w:val="0"/>
        <w:pageBreakBefore w:val="0"/>
        <w:kinsoku/>
        <w:topLinePunct w:val="0"/>
        <w:bidi w:val="0"/>
        <w:spacing w:line="360" w:lineRule="auto"/>
        <w:ind w:firstLine="600" w:firstLineChars="25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(二)创全国一流安全文明生产现场。</w:t>
      </w:r>
    </w:p>
    <w:p w14:paraId="4C67B0D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（三）甲乙双方各自安全管理目标应以上述安全文明生产管理目标为基础，不得以自身原因影响上述安全文明生产管理目标的实现。</w:t>
      </w:r>
    </w:p>
    <w:p w14:paraId="7E70F1B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b/>
          <w:sz w:val="24"/>
          <w:szCs w:val="24"/>
        </w:rPr>
        <w:t>安全管理依据</w:t>
      </w:r>
    </w:p>
    <w:p w14:paraId="53903FB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甲乙双方严格遵守有关安全管理法律、法规和规定，甲方实施安全文明生产管理依据主要有：</w:t>
      </w:r>
    </w:p>
    <w:p w14:paraId="06DDE30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（一）国家《安全生产法》（最新修订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、国家《特种设备安全法》、《特种设备安全监察条例》（国务院令第549号）、《特种设备作业人员监督管理办法》及道路交通等法律、法规和安全管理文件。</w:t>
      </w:r>
    </w:p>
    <w:p w14:paraId="11C157D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（二）《电力安全事故应急处置和调查处理条例》（国务院令第599号）。</w:t>
      </w:r>
    </w:p>
    <w:p w14:paraId="3C98B23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（三）国家《职业病防治法》、《四川省安全生产条例》。</w:t>
      </w:r>
    </w:p>
    <w:p w14:paraId="4700A45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（四）国家电力公司或原电力部有关行业安全管理规定，包括《电力建设文明施工规定及考核办法》、《电力建设安全工作规程-第一部分：火力发电》（</w:t>
      </w:r>
      <w:r>
        <w:rPr>
          <w:rFonts w:hint="eastAsia" w:ascii="仿宋_GB2312" w:hAnsi="仿宋_GB2312" w:eastAsia="仿宋_GB2312" w:cs="仿宋_GB2312"/>
          <w:b/>
          <w:sz w:val="24"/>
          <w:szCs w:val="24"/>
        </w:rPr>
        <w:t>DL 5009.1-2014</w:t>
      </w:r>
      <w:r>
        <w:rPr>
          <w:rFonts w:hint="eastAsia" w:ascii="仿宋_GB2312" w:hAnsi="仿宋_GB2312" w:eastAsia="仿宋_GB2312" w:cs="仿宋_GB2312"/>
          <w:sz w:val="24"/>
          <w:szCs w:val="24"/>
        </w:rPr>
        <w:t>）、《电力建设安全健康与环境管理工作规定》、《电力生产安全工作规定》、国家及行业有关防止电力生产事故二十五项反措的技术要求、《电力安全生产规程-发电厂及变电站电气部分》（</w:t>
      </w:r>
      <w:r>
        <w:rPr>
          <w:rFonts w:hint="eastAsia" w:ascii="仿宋_GB2312" w:hAnsi="仿宋_GB2312" w:eastAsia="仿宋_GB2312" w:cs="仿宋_GB2312"/>
          <w:b/>
          <w:sz w:val="24"/>
          <w:szCs w:val="24"/>
        </w:rPr>
        <w:t>GB 26860-2011</w:t>
      </w:r>
      <w:r>
        <w:rPr>
          <w:rFonts w:hint="eastAsia" w:ascii="仿宋_GB2312" w:hAnsi="仿宋_GB2312" w:eastAsia="仿宋_GB2312" w:cs="仿宋_GB2312"/>
          <w:sz w:val="24"/>
          <w:szCs w:val="24"/>
        </w:rPr>
        <w:t>）、《电力安全工作规程-热力和机械》（</w:t>
      </w:r>
      <w:r>
        <w:rPr>
          <w:rFonts w:hint="eastAsia" w:ascii="仿宋_GB2312" w:hAnsi="仿宋_GB2312" w:eastAsia="仿宋_GB2312" w:cs="仿宋_GB2312"/>
          <w:b/>
          <w:sz w:val="24"/>
          <w:szCs w:val="24"/>
        </w:rPr>
        <w:t>GB-26164.1-2010</w:t>
      </w:r>
      <w:r>
        <w:rPr>
          <w:rFonts w:hint="eastAsia" w:ascii="仿宋_GB2312" w:hAnsi="仿宋_GB2312" w:eastAsia="仿宋_GB2312" w:cs="仿宋_GB2312"/>
          <w:sz w:val="24"/>
          <w:szCs w:val="24"/>
        </w:rPr>
        <w:t>）、《电力设备典型消防规程》（</w:t>
      </w:r>
      <w:r>
        <w:rPr>
          <w:rFonts w:hint="eastAsia" w:ascii="仿宋_GB2312" w:hAnsi="仿宋_GB2312" w:eastAsia="仿宋_GB2312" w:cs="仿宋_GB2312"/>
          <w:b/>
          <w:sz w:val="24"/>
          <w:szCs w:val="24"/>
        </w:rPr>
        <w:t>DL 5027-2015</w:t>
      </w:r>
      <w:r>
        <w:rPr>
          <w:rFonts w:hint="eastAsia" w:ascii="仿宋_GB2312" w:hAnsi="仿宋_GB2312" w:eastAsia="仿宋_GB2312" w:cs="仿宋_GB2312"/>
          <w:sz w:val="24"/>
          <w:szCs w:val="24"/>
        </w:rPr>
        <w:t>）等。</w:t>
      </w:r>
    </w:p>
    <w:p w14:paraId="5F3DAF8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（五）甲方上级有关安全管理的规定或文件。</w:t>
      </w:r>
    </w:p>
    <w:p w14:paraId="0440DF4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（六）相关招标文件、施工合同有关安全条款。</w:t>
      </w:r>
    </w:p>
    <w:p w14:paraId="3919FBC8">
      <w:pPr>
        <w:pStyle w:val="5"/>
        <w:keepNext w:val="0"/>
        <w:keepLines w:val="0"/>
        <w:pageBreakBefore w:val="0"/>
        <w:kinsoku/>
        <w:topLinePunct w:val="0"/>
        <w:bidi w:val="0"/>
        <w:spacing w:line="360" w:lineRule="auto"/>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七）甲方《四川泸州川南发电有限责任公司安全生产工作规定》、《厂区道路交通安全管理标准》、《环境保护管理标准》、《四川泸州川南发电有限责任公司员工行为规范》、《工作票、操作票管理标准》、《易燃易爆场所工作管理标准》、《特种设备管理标准》、《安全工器具管理标准》、《设备检修安全管理》、《安全环保奖惩管理标准》《不安全情况调查分析及统计报告管理标准》、《安全隐患排查治理管理制度》、《</w:t>
      </w:r>
      <w:r>
        <w:rPr>
          <w:rFonts w:hint="eastAsia" w:ascii="仿宋_GB2312" w:hAnsi="仿宋_GB2312" w:eastAsia="仿宋_GB2312" w:cs="仿宋_GB2312"/>
          <w:bCs/>
          <w:szCs w:val="24"/>
        </w:rPr>
        <w:t>文明生产责任区域划分及管理标准</w:t>
      </w:r>
      <w:r>
        <w:rPr>
          <w:rFonts w:hint="eastAsia" w:ascii="仿宋_GB2312" w:hAnsi="仿宋_GB2312" w:eastAsia="仿宋_GB2312" w:cs="仿宋_GB2312"/>
          <w:szCs w:val="24"/>
        </w:rPr>
        <w:t>》、《公司文明办公管理规定》、《危险废物污染防治管理制度》、《脚手架安全管理标准》、《防止货运车辆超限超载超速管理制度》、《入厂车辆安全管理制度》、《承包商及队伍、其他外来人员安全管理制度》等。</w:t>
      </w:r>
    </w:p>
    <w:p w14:paraId="43F8090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（八）承包人依据上述法令、规定或文件制订的有关安全管理且经批准后执行的规定和制度。 </w:t>
      </w:r>
    </w:p>
    <w:p w14:paraId="417B2D05">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（九）《火力发电企业生产安全设施配置》（</w:t>
      </w:r>
      <w:r>
        <w:rPr>
          <w:rFonts w:hint="eastAsia" w:ascii="仿宋_GB2312" w:hAnsi="仿宋_GB2312" w:eastAsia="仿宋_GB2312" w:cs="仿宋_GB2312"/>
          <w:b/>
          <w:bCs/>
          <w:sz w:val="24"/>
          <w:szCs w:val="24"/>
        </w:rPr>
        <w:t>DL／T1123-2009</w:t>
      </w:r>
      <w:r>
        <w:rPr>
          <w:rFonts w:hint="eastAsia" w:ascii="仿宋_GB2312" w:hAnsi="仿宋_GB2312" w:eastAsia="仿宋_GB2312" w:cs="仿宋_GB2312"/>
          <w:sz w:val="24"/>
          <w:szCs w:val="24"/>
        </w:rPr>
        <w:t>）</w:t>
      </w:r>
    </w:p>
    <w:p w14:paraId="676150A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（十）《四川省电力企业安全生产标准化规范及达标评级实施标准（第一版）》（国家电力监管委员会四川省电力监管专员办公室 2012年发布）中生产设备设施及安全作业的要求。</w:t>
      </w:r>
    </w:p>
    <w:p w14:paraId="361EC3A2">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（十一）川南发电有限责任公司年度安全生产、职业健康及环境保护工作目标。</w:t>
      </w:r>
    </w:p>
    <w:p w14:paraId="5825D44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7484E5F7">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三、甲乙双方安全管理责任</w:t>
      </w:r>
    </w:p>
    <w:p w14:paraId="72F40556">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2F222BC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1.甲方行政正职是本单位安全文明管理的第一责任者，对本单位的安全文明生产负全面责任，并建立完善好安全生产责任制。</w:t>
      </w:r>
    </w:p>
    <w:p w14:paraId="7303880D">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有关规定要求，甲方负责组织成立川南发电安全文明生产管理委员会（简称安委会），安委会下设办公室，办公室安全文明监督组按有关规定负责生产现场的安全文明生产管理；实施安全文明生产监督、检查、指导和考核，但这并不影响和减轻乙方应承担的责任。</w:t>
      </w:r>
    </w:p>
    <w:p w14:paraId="6055A93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中有关安全文明生产管理的规定，不得要求承包人违反安全管理的规定进行施工，不得违章指挥。</w:t>
      </w:r>
    </w:p>
    <w:p w14:paraId="74F38AB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w:t>
      </w:r>
      <w:r>
        <w:rPr>
          <w:rFonts w:hint="default" w:ascii="仿宋_GB2312" w:hAnsi="仿宋_GB2312" w:eastAsia="仿宋_GB2312" w:cs="仿宋_GB2312"/>
          <w:sz w:val="24"/>
          <w:szCs w:val="24"/>
          <w:lang w:val="en-US"/>
        </w:rPr>
        <w:t>有责任</w:t>
      </w:r>
      <w:r>
        <w:rPr>
          <w:rFonts w:hint="eastAsia" w:ascii="仿宋_GB2312" w:hAnsi="仿宋_GB2312" w:eastAsia="仿宋_GB2312" w:cs="仿宋_GB2312"/>
          <w:sz w:val="24"/>
          <w:szCs w:val="24"/>
        </w:rPr>
        <w:t>对其在生产场地的甲方有关人员进行安全教育，并对他们的安全负责。</w:t>
      </w:r>
    </w:p>
    <w:p w14:paraId="373DF9F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5.因甲方原因导致的安全事故，甲方应承担相应责任。</w:t>
      </w:r>
    </w:p>
    <w:p w14:paraId="33D19F5E">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（二）乙方的安全责任</w:t>
      </w:r>
    </w:p>
    <w:p w14:paraId="41665BEA">
      <w:pPr>
        <w:keepNext w:val="0"/>
        <w:keepLines w:val="0"/>
        <w:pageBreakBefore w:val="0"/>
        <w:kinsoku/>
        <w:topLinePunct w:val="0"/>
        <w:bidi w:val="0"/>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1.乙方行政正职是本单位安全文明生产的第一责任人，对本单位的安全文明生产负全面责任，建立健全并落实全员安全生产责任制，满足安全管理要求。</w:t>
      </w:r>
    </w:p>
    <w:p w14:paraId="6E99F59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事先掌握项目所存在的各种安全风险，按时足额投入安全文明施工费。乙方应建立健全安全管理机构，配备专职或兼职安全管理人员。鉴于甲方安全管理的需要，特定要求乙方从业人员超过30人（含30人）时应设置安全生产管理机构或配备专职安全生产管理人员；乙方从业人员不足30人的，应配备专职或兼职安全生产管理人员（国家强制规定必须设置专职安全管理人员的项目除外）。乙方应定期对作业人员进行安全培训，提升人员的安全意识和安全技能，使其了解作业中可能面临的安全风险和必须采取的防范措施。乙方应组织开展各类安全检查和隐患排查，乙方专（兼）职安全生产管理人员应对作业现场、作业环境、施工人员作业行为等进行检查、监督与协调，并经常向现场甲方汇报安全监督管理情况。</w:t>
      </w:r>
    </w:p>
    <w:p w14:paraId="593EEC3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有关法律法规及安全管理规章制度，并结合本单位和生产特点，编制适合自身安全需要的安全管理制度，并注重落实和执行。</w:t>
      </w:r>
    </w:p>
    <w:p w14:paraId="06431A9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根据本生产现场和作业特点，编制合理的施工组织设计，制订完善的施工方案并按有关规定报审通过后执行；方案中必须包括：完善的安全技术设施、现场安全保障措施、安全防护措施。乙方在组织施工时严禁违章指挥、违章作业、违反劳动纪律，确保施工安全。</w:t>
      </w:r>
    </w:p>
    <w:p w14:paraId="1B370B7A">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5.乙方服从甲方安委会及其办公室对安全文明生产的管理，随时接受安全检查人员的监督检查。参加本现场有关定期和不定期安全活动（会议、检查），接受有关奖惩细则、办法和考核。</w:t>
      </w:r>
    </w:p>
    <w:p w14:paraId="100619E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通过合同（或协议）进行外委项目对管辖的设备、设施进行检修、改造、新建设施等工作，必须报请甲方同意，并由乙方具体负责组织施工；乙方若对管辖的设备进行改造或新建安装应当按照国家有关特种设备管理规定向属地特种设备主管部门进行申报、报检和备案，并将相关资料移交甲方，产生的费用按照合同约定执行。</w:t>
      </w:r>
    </w:p>
    <w:p w14:paraId="1F939AE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color w:val="FF0000"/>
          <w:sz w:val="24"/>
          <w:szCs w:val="24"/>
        </w:rPr>
        <w:t>.</w:t>
      </w:r>
      <w:r>
        <w:rPr>
          <w:rFonts w:hint="eastAsia" w:ascii="仿宋_GB2312" w:hAnsi="仿宋_GB2312" w:eastAsia="仿宋_GB2312" w:cs="仿宋_GB2312"/>
          <w:sz w:val="24"/>
          <w:szCs w:val="24"/>
        </w:rPr>
        <w:t>乙方有责任加强对劳务队伍的安全管理，劳务队伍的安全事故责任乙方按照合同（或协议）由承包商及乙方负责；乙方按有关管理规定，加强对民工、合同工和新进场人员的安全管理和教育。乙方负责所属工作人员着装整齐、符合《电力安全工作规定》着装要求，必要时应当佩戴工作标志。乙方保证不使用未成年人员和不适应现场安全施工的老、弱、病、残人员；从事国家规定需定期进行职业健康检查的专业工作人员必须职业健康检查合格。</w:t>
      </w:r>
    </w:p>
    <w:p w14:paraId="348E7981">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8.乙方应根据工作中的风险为作业人员提供合格的、满足需要的个人防护用品，并督促作业人员正确使用。在所有施工场地，现场所有人员都至少应穿戴安全帽、防砸防穿刺安全鞋、工作服。</w:t>
      </w:r>
    </w:p>
    <w:p w14:paraId="4FBAEDF6">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z w:val="24"/>
          <w:szCs w:val="24"/>
        </w:rPr>
        <w:t>9.</w:t>
      </w:r>
      <w:r>
        <w:rPr>
          <w:rFonts w:hint="eastAsia" w:ascii="仿宋_GB2312" w:hAnsi="仿宋_GB2312" w:eastAsia="仿宋_GB2312" w:cs="仿宋_GB2312"/>
          <w:kern w:val="0"/>
          <w:sz w:val="24"/>
          <w:szCs w:val="24"/>
          <w:lang w:val="zh-CN"/>
        </w:rPr>
        <w:t>乙方应采取一切合理措施，保护作业现场人员免受高温、粉尘、噪音造成的危害。</w:t>
      </w:r>
    </w:p>
    <w:p w14:paraId="7A372A4E">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10</w:t>
      </w:r>
      <w:r>
        <w:rPr>
          <w:rFonts w:hint="eastAsia" w:ascii="仿宋_GB2312" w:hAnsi="仿宋_GB2312" w:eastAsia="仿宋_GB2312" w:cs="仿宋_GB2312"/>
          <w:kern w:val="0"/>
          <w:sz w:val="24"/>
          <w:szCs w:val="24"/>
          <w:lang w:val="zh-CN"/>
        </w:rPr>
        <w:t>.乙方现场负责人及安全管理人员、特种作业人员、</w:t>
      </w:r>
      <w:r>
        <w:rPr>
          <w:rFonts w:hint="eastAsia" w:ascii="仿宋_GB2312" w:hAnsi="仿宋_GB2312" w:eastAsia="仿宋_GB2312" w:cs="仿宋_GB2312"/>
          <w:kern w:val="0"/>
          <w:sz w:val="24"/>
          <w:szCs w:val="24"/>
        </w:rPr>
        <w:t>特种设备操作人员</w:t>
      </w:r>
      <w:r>
        <w:rPr>
          <w:rFonts w:hint="eastAsia" w:ascii="仿宋_GB2312" w:hAnsi="仿宋_GB2312" w:eastAsia="仿宋_GB2312" w:cs="仿宋_GB2312"/>
          <w:kern w:val="0"/>
          <w:sz w:val="24"/>
          <w:szCs w:val="24"/>
          <w:lang w:val="zh-CN"/>
        </w:rPr>
        <w:t>必须持有效资质上岗。乙方作业人员</w:t>
      </w:r>
      <w:r>
        <w:rPr>
          <w:rFonts w:hint="eastAsia" w:ascii="仿宋_GB2312" w:hAnsi="仿宋_GB2312" w:eastAsia="仿宋_GB2312" w:cs="仿宋_GB2312"/>
          <w:sz w:val="24"/>
          <w:szCs w:val="24"/>
        </w:rPr>
        <w:t>进行特种（设备）作业人员（如焊接作业、起重作业、机动车驾驶、搭架作业、电气作业、化学危险品作业、消防设备维修、机械加工、无损检验、爆破作业等）必须经政府有关部门培训，并取得主管部门颁发的资格证书才能上岗，否则不得安排工作。</w:t>
      </w:r>
    </w:p>
    <w:p w14:paraId="5AFA2A9F">
      <w:pPr>
        <w:keepNext w:val="0"/>
        <w:keepLines w:val="0"/>
        <w:pageBreakBefore w:val="0"/>
        <w:kinsoku/>
        <w:topLinePunct w:val="0"/>
        <w:bidi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当发生不安全事件（包括不安全趋势或隐患），危及或可能危及双方或第三方人员安全、危及运行设备安全时，乙方必须立即停止所有工作并采取合理的措施防止危害扩大，及时将实际情况汇报甲方生产管理部门和安全监察部门。</w:t>
      </w:r>
    </w:p>
    <w:p w14:paraId="4CD7C9EB">
      <w:pPr>
        <w:pStyle w:val="12"/>
        <w:keepNext w:val="0"/>
        <w:keepLines w:val="0"/>
        <w:pageBreakBefore w:val="0"/>
        <w:numPr>
          <w:ilvl w:val="0"/>
          <w:numId w:val="0"/>
        </w:numPr>
        <w:tabs>
          <w:tab w:val="clear" w:pos="1680"/>
        </w:tabs>
        <w:kinsoku/>
        <w:topLinePunct w:val="0"/>
        <w:bidi w:val="0"/>
        <w:adjustRightInd w:val="0"/>
        <w:spacing w:line="360" w:lineRule="auto"/>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12.工作中双方或第三方人员的人身安全受到威胁时，乙方有责任立即处理，并报告现场甲方安全监察部门和生产管理部门；</w:t>
      </w:r>
      <w:r>
        <w:rPr>
          <w:rFonts w:hint="eastAsia" w:ascii="仿宋_GB2312" w:hAnsi="仿宋_GB2312" w:eastAsia="仿宋_GB2312" w:cs="仿宋_GB2312"/>
          <w:kern w:val="2"/>
          <w:sz w:val="24"/>
          <w:szCs w:val="24"/>
          <w:lang w:val="zh-CN"/>
        </w:rPr>
        <w:t>两个及以上在甲方同一区域内作业的乙方，可能影响对方生产安全时，应当签订</w:t>
      </w:r>
      <w:r>
        <w:rPr>
          <w:rFonts w:hint="eastAsia" w:ascii="仿宋_GB2312" w:hAnsi="仿宋_GB2312" w:eastAsia="仿宋_GB2312" w:cs="仿宋_GB2312"/>
          <w:kern w:val="2"/>
          <w:sz w:val="24"/>
          <w:szCs w:val="24"/>
        </w:rPr>
        <w:t>《交叉作业安全协议》</w:t>
      </w:r>
      <w:r>
        <w:rPr>
          <w:rFonts w:hint="eastAsia" w:ascii="仿宋_GB2312" w:hAnsi="仿宋_GB2312" w:eastAsia="仿宋_GB2312" w:cs="仿宋_GB2312"/>
          <w:kern w:val="2"/>
          <w:sz w:val="24"/>
          <w:szCs w:val="24"/>
          <w:lang w:val="zh-CN"/>
        </w:rPr>
        <w:t>，明确各自的安全生产管理职责、</w:t>
      </w:r>
      <w:r>
        <w:rPr>
          <w:rFonts w:hint="eastAsia" w:ascii="仿宋_GB2312" w:hAnsi="仿宋_GB2312" w:eastAsia="仿宋_GB2312" w:cs="仿宋_GB2312"/>
          <w:kern w:val="2"/>
          <w:sz w:val="24"/>
          <w:szCs w:val="24"/>
        </w:rPr>
        <w:t>管理人员、联络方式</w:t>
      </w:r>
      <w:r>
        <w:rPr>
          <w:rFonts w:hint="eastAsia" w:ascii="仿宋_GB2312" w:hAnsi="仿宋_GB2312" w:eastAsia="仿宋_GB2312" w:cs="仿宋_GB2312"/>
          <w:kern w:val="2"/>
          <w:sz w:val="24"/>
          <w:szCs w:val="24"/>
          <w:lang w:val="zh-CN"/>
        </w:rPr>
        <w:t>和应当采取的安全措施，并报甲方备案。</w:t>
      </w:r>
    </w:p>
    <w:p w14:paraId="5B66C314">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13.乙方施工前应完善封闭施工措施，在醒目位置设置各类完善的安全警示标识、宣传标语、危险点分析、职业病危害告知卡等。</w:t>
      </w:r>
    </w:p>
    <w:p w14:paraId="05B9F5D2">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14.乙方必须严格遵守甲方“两票三制”工作规定，委派具有相应专业知识和符合《电力安全工作规定》的人员参加甲方组织的工作负责人考试，成绩合格者方能担任工作票负责人。</w:t>
      </w:r>
    </w:p>
    <w:p w14:paraId="7161B9D3">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15.乙方应根据合同实施特点，做好交通运输安全管理工作。包括但不限于：对司机进行教育培训；督促司机遵守《道路交通安全法》等法律法规和甲方《厂区道路交通安全管理标准》《防止货运车辆超限超载超速管理制度》《入厂车辆安全管理制度》等相关交通管理制度；禁止车辆乱停乱放和超速、超载、超限行驶；禁止在车辆行驶途中使用手机或从事其他与驾驶无关的工作；禁止非法改装、拼装车辆进入甲方厂区等一切危害道路交通安全的行为。</w:t>
      </w:r>
    </w:p>
    <w:p w14:paraId="3F696B02">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16.乙方在正式履行合同前，应主动到甲方安全管理部门接受安全培训，提交符合</w:t>
      </w:r>
      <w:r>
        <w:rPr>
          <w:rFonts w:hint="default" w:ascii="仿宋_GB2312" w:hAnsi="仿宋_GB2312" w:eastAsia="仿宋_GB2312" w:cs="仿宋_GB2312"/>
          <w:sz w:val="24"/>
          <w:szCs w:val="24"/>
          <w:lang w:val="en-US"/>
        </w:rPr>
        <w:t>本协议</w:t>
      </w:r>
      <w:r>
        <w:rPr>
          <w:rFonts w:hint="eastAsia" w:ascii="仿宋_GB2312" w:hAnsi="仿宋_GB2312" w:eastAsia="仿宋_GB2312" w:cs="仿宋_GB2312"/>
          <w:sz w:val="24"/>
          <w:szCs w:val="24"/>
        </w:rPr>
        <w:t>要求的相关安全管理证明文件。</w:t>
      </w:r>
    </w:p>
    <w:p w14:paraId="5A171D0C">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7155FA4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（一）</w:t>
      </w:r>
      <w:r>
        <w:rPr>
          <w:rFonts w:hint="eastAsia" w:ascii="仿宋_GB2312" w:hAnsi="仿宋_GB2312" w:eastAsia="仿宋_GB2312" w:cs="仿宋_GB2312"/>
          <w:sz w:val="24"/>
          <w:szCs w:val="24"/>
        </w:rPr>
        <w:t>发生重大伤亡及其他安全事故，乙方应按规定立即将事故情况上报有关部门、现场组织机构及有关安全负责人，同时按政府或上级有关部门要求处理，由事故责任方承担发生的费用。</w:t>
      </w:r>
    </w:p>
    <w:p w14:paraId="376F2E3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（二）甲乙双方对事故责任有争议时，应按政府或上级有关部门的认定处理。</w:t>
      </w:r>
    </w:p>
    <w:p w14:paraId="629997FE">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五、安全考核制度</w:t>
      </w:r>
    </w:p>
    <w:p w14:paraId="090515B4">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甲方对乙方实行安全与经济挂钩的管理办法，及时对不安全情况进行考核。考核款由乙方到甲方财务部门缴纳现金，对拒不缴纳或未按时缴纳者甲方有权从合同款、质保金中进行扣除。</w:t>
      </w:r>
    </w:p>
    <w:p w14:paraId="0C73219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（一）若乙方未发生轻伤及以上事故，甲方将按公司规定按时按质按量拨付工程进度款。</w:t>
      </w:r>
    </w:p>
    <w:p w14:paraId="29D4C55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highlight w:val="yellow"/>
        </w:rPr>
      </w:pPr>
      <w:r>
        <w:rPr>
          <w:rFonts w:hint="eastAsia" w:ascii="仿宋_GB2312" w:hAnsi="仿宋_GB2312" w:eastAsia="仿宋_GB2312" w:cs="仿宋_GB2312"/>
          <w:bCs/>
          <w:sz w:val="24"/>
          <w:szCs w:val="24"/>
        </w:rPr>
        <w:t>（二）若乙方发生人身重伤以上事故，甲方有权每次从工程款中扣减20万元，合同金额不足20万元的，扣减金额以合同金额为准。</w:t>
      </w:r>
    </w:p>
    <w:p w14:paraId="75E4320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（三）若乙方发生人身重伤事故，甲方有权从工程款扣减5万元/1人·次。</w:t>
      </w:r>
    </w:p>
    <w:p w14:paraId="7E87342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（四）若乙方发生人身轻伤事故，甲方有权从工程款扣减1万元/1人·次。</w:t>
      </w:r>
    </w:p>
    <w:p w14:paraId="0699F401">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（五）若乙方原因造成乙方人员发生职业病伤害，由</w:t>
      </w:r>
      <w:r>
        <w:rPr>
          <w:rFonts w:hint="eastAsia" w:ascii="仿宋_GB2312" w:hAnsi="仿宋_GB2312" w:eastAsia="仿宋_GB2312" w:cs="仿宋_GB2312"/>
          <w:sz w:val="24"/>
          <w:szCs w:val="24"/>
        </w:rPr>
        <w:t>乙方承担责任且妥善处理相关事宜。</w:t>
      </w:r>
    </w:p>
    <w:p w14:paraId="619879B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（六）若乙方原因造成重大及以上设备损坏事故，照原价赔偿或完全修复（修复费用乙方负责）并每次从工程款扣减20万元，合同金额不足20万元的，扣减金额以合同金额为准。</w:t>
      </w:r>
    </w:p>
    <w:p w14:paraId="797DFE0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（七）若乙方原因造成一般设备损坏事故，照价赔偿或完全修复（费用乙方负责）并每次从工程款扣减3000-5000元。</w:t>
      </w:r>
    </w:p>
    <w:p w14:paraId="08DA3BA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（八）若乙方原因造成重大及以上火灾事故，甲方有权从工程款扣减20万元/次，合同金额不足20万元的，扣减金额以合同金额为准。</w:t>
      </w:r>
    </w:p>
    <w:p w14:paraId="754CF3A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（九）若乙方原因造成一般火灾事故，甲方有权从工程款扣减500－2000元/次。</w:t>
      </w:r>
    </w:p>
    <w:p w14:paraId="7F9B133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（十）若乙方原因造成所辖设备事故、障碍、异常，将按照甲方有关管理制度进行考核。（如考核项目与上述有重复，不进行重复考核）</w:t>
      </w:r>
    </w:p>
    <w:p w14:paraId="6D76EA9A">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（十一）若乙方发生人身伤亡、设备事故（损坏）未遂瞒情不报，</w:t>
      </w:r>
      <w:r>
        <w:rPr>
          <w:rFonts w:hint="eastAsia" w:ascii="仿宋_GB2312" w:hAnsi="仿宋_GB2312" w:eastAsia="仿宋_GB2312" w:cs="仿宋_GB2312"/>
          <w:bCs/>
          <w:sz w:val="24"/>
          <w:szCs w:val="24"/>
        </w:rPr>
        <w:t>甲方有权从工程款扣减5000元/次。</w:t>
      </w:r>
    </w:p>
    <w:p w14:paraId="749FCBA5">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（十二）</w:t>
      </w:r>
      <w:r>
        <w:rPr>
          <w:rFonts w:hint="eastAsia" w:ascii="仿宋_GB2312" w:hAnsi="仿宋_GB2312" w:eastAsia="仿宋_GB2312" w:cs="仿宋_GB2312"/>
          <w:sz w:val="24"/>
          <w:szCs w:val="24"/>
        </w:rPr>
        <w:t>若乙方在生产现场（厂区内）发生负主要责任的交通安全事故，</w:t>
      </w:r>
      <w:r>
        <w:rPr>
          <w:rFonts w:hint="eastAsia" w:ascii="仿宋_GB2312" w:hAnsi="仿宋_GB2312" w:eastAsia="仿宋_GB2312" w:cs="仿宋_GB2312"/>
          <w:bCs/>
          <w:sz w:val="24"/>
          <w:szCs w:val="24"/>
        </w:rPr>
        <w:t>甲方有权</w:t>
      </w:r>
      <w:r>
        <w:rPr>
          <w:rFonts w:hint="eastAsia" w:ascii="仿宋_GB2312" w:hAnsi="仿宋_GB2312" w:eastAsia="仿宋_GB2312" w:cs="仿宋_GB2312"/>
          <w:sz w:val="24"/>
          <w:szCs w:val="24"/>
        </w:rPr>
        <w:t>从工程款扣减5000元/次。</w:t>
      </w:r>
    </w:p>
    <w:p w14:paraId="5FBF5F98">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环境污染事故，甲方将按照公司有关环保管理标准进行考核。若甲方因此对外承担环境污染责任或名誉受损的，甲方有权向乙方追偿。</w:t>
      </w:r>
    </w:p>
    <w:p w14:paraId="26265963">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有严重社会影响的电力安全生产事件，乙方承担责任且妥善处理相关事宜并接受本公司有关考核。特别是“新冠肺炎疫情”期间若发生疑似或确诊病例，将参照国家、地方相关处理指导意见进行问责。</w:t>
      </w:r>
    </w:p>
    <w:p w14:paraId="584CEB09">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（十五）若乙方在施工过程中未发生上述情况，但管理、作业人员发生管理违章、装置性违章、习惯性违章等情形时将按照甲方《安全环保奖惩管理标准》及技术协议书、检修手册等规定进行经济考核。</w:t>
      </w:r>
    </w:p>
    <w:p w14:paraId="3ED88731">
      <w:pPr>
        <w:keepNext w:val="0"/>
        <w:keepLines w:val="0"/>
        <w:pageBreakBefore w:val="0"/>
        <w:kinsoku/>
        <w:topLinePunct w:val="0"/>
        <w:bidi w:val="0"/>
        <w:spacing w:line="360" w:lineRule="auto"/>
        <w:ind w:firstLine="482"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56F8DA29">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七、</w:t>
      </w:r>
      <w:r>
        <w:rPr>
          <w:rFonts w:hint="eastAsia" w:ascii="仿宋_GB2312" w:hAnsi="仿宋_GB2312" w:eastAsia="仿宋_GB2312" w:cs="仿宋_GB2312"/>
          <w:b/>
          <w:bCs/>
          <w:sz w:val="24"/>
          <w:szCs w:val="24"/>
        </w:rPr>
        <w:t>安全考核制度从签订安全管理协议之日执行。</w:t>
      </w:r>
    </w:p>
    <w:p w14:paraId="1E049CAA">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01D5F8CE">
      <w:pPr>
        <w:keepNext w:val="0"/>
        <w:keepLines w:val="0"/>
        <w:pageBreakBefore w:val="0"/>
        <w:tabs>
          <w:tab w:val="left" w:pos="5535"/>
        </w:tabs>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w:t>
      </w:r>
      <w:r>
        <w:rPr>
          <w:rFonts w:hint="eastAsia" w:ascii="仿宋_GB2312" w:hAnsi="仿宋_GB2312" w:eastAsia="仿宋_GB2312" w:cs="仿宋_GB2312"/>
          <w:b/>
          <w:bCs/>
          <w:sz w:val="24"/>
          <w:szCs w:val="24"/>
        </w:rPr>
        <w:t>乙方与甲方签订</w:t>
      </w:r>
      <w:r>
        <w:rPr>
          <w:rFonts w:hint="eastAsia" w:ascii="仿宋_GB2312" w:hAnsi="仿宋_GB2312" w:eastAsia="仿宋_GB2312" w:cs="仿宋_GB2312"/>
          <w:b/>
          <w:sz w:val="24"/>
          <w:szCs w:val="24"/>
        </w:rPr>
        <w:t>合同中涉及安全管理条款的具体实施细则，经双方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405BBCC7">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60D77BE4">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w:t>
      </w:r>
    </w:p>
    <w:p w14:paraId="7453A47C">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47E9EFC6">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p>
    <w:p w14:paraId="79498DBA">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乙方：</w:t>
      </w:r>
    </w:p>
    <w:p w14:paraId="32D8A95C">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03F6F7E5">
      <w:pPr>
        <w:spacing w:line="240" w:lineRule="auto"/>
        <w:ind w:firstLine="0" w:firstLineChars="0"/>
        <w:rPr>
          <w:rFonts w:ascii="Times New Roman" w:hAnsi="Times New Roman" w:eastAsia="宋体"/>
          <w:sz w:val="21"/>
          <w:szCs w:val="24"/>
        </w:rPr>
      </w:pPr>
    </w:p>
    <w:p w14:paraId="2DB2C649">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22C1DBB8">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696F4F10">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环保管理协议</w:t>
      </w:r>
    </w:p>
    <w:p w14:paraId="2D0D8A82">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0FD34955">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承包人（乙方）：</w:t>
      </w:r>
    </w:p>
    <w:p w14:paraId="5866DF54">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环境保护法》及相关法律、法规和条例，坚持保护优先、预防为主、综合治理、公众参与、损害担责的环境保护原则，强化企业环保管理，落实环保责任制，确保四川泸州川南发电有限责任公司技术改造工程建设、设备检修、设备维护项目过程中确保环保设施运行正常运行、环保措施执行到位及废气污染物稳定实现超低限值排放，减少生态破坏，有效保护环境，特签订本协议书；甲乙双方在履行项目合同的过程中应遵循本协议的约定。</w:t>
      </w:r>
    </w:p>
    <w:p w14:paraId="783DF440">
      <w:pPr>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 环保生产目标</w:t>
      </w:r>
    </w:p>
    <w:p w14:paraId="6CD45C5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（一）四川泸州川南发电公司2×600MW机组环保管理目标：实现突发环境事件零目标，杜绝以下事件：</w:t>
      </w:r>
    </w:p>
    <w:p w14:paraId="474829A5">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不发生因对环保设施检修维护不及时造成的污染物超标排放或突发环境事件；</w:t>
      </w:r>
    </w:p>
    <w:p w14:paraId="5887A656">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不发生因野蛮施工、误操作造成的突发环境事件；</w:t>
      </w:r>
    </w:p>
    <w:p w14:paraId="3D2C0211">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不发生因设备改造、检修维护过程中未采取环保措施或措施执行不到位造成的突发环境事件；</w:t>
      </w:r>
    </w:p>
    <w:p w14:paraId="7DC04AE6">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不发生因处置不当或未及时进行处置造成的突发环境事件； </w:t>
      </w:r>
    </w:p>
    <w:p w14:paraId="54B9962D">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不发生因未按规定进行设备定期巡视、检查造成的突发环境事件。</w:t>
      </w:r>
    </w:p>
    <w:p w14:paraId="6200DF8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 甲乙双方各自环保管理目标应以上述环保管理目标为基础，不得以自身原因影响上述环保管理目标的实现。</w:t>
      </w:r>
    </w:p>
    <w:p w14:paraId="19C68DF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二 </w:t>
      </w:r>
      <w:r>
        <w:rPr>
          <w:rFonts w:hint="eastAsia" w:ascii="仿宋_GB2312" w:hAnsi="仿宋_GB2312" w:eastAsia="仿宋_GB2312" w:cs="仿宋_GB2312"/>
          <w:b/>
          <w:sz w:val="24"/>
          <w:szCs w:val="24"/>
        </w:rPr>
        <w:t>环保管理依据</w:t>
      </w:r>
    </w:p>
    <w:p w14:paraId="630451D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甲乙双方严格遵守有关环保管理法律、法规和规定，甲方实施环保管理依据包括但不限于：</w:t>
      </w:r>
    </w:p>
    <w:p w14:paraId="2DDB327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（一）《中华人民共和国环境保护法》（</w:t>
      </w:r>
      <w:r>
        <w:rPr>
          <w:rFonts w:hint="eastAsia" w:ascii="仿宋_GB2312" w:hAnsi="仿宋_GB2312" w:eastAsia="仿宋_GB2312" w:cs="仿宋_GB2312"/>
          <w:b w:val="0"/>
          <w:bCs/>
          <w:sz w:val="24"/>
          <w:szCs w:val="24"/>
          <w:lang w:eastAsia="zh-CN"/>
        </w:rPr>
        <w:t>最新修订</w:t>
      </w:r>
      <w:r>
        <w:rPr>
          <w:rFonts w:hint="eastAsia" w:ascii="仿宋_GB2312" w:hAnsi="仿宋_GB2312" w:eastAsia="仿宋_GB2312" w:cs="仿宋_GB2312"/>
          <w:sz w:val="24"/>
          <w:szCs w:val="24"/>
        </w:rPr>
        <w:t>）及其四个配套办法《环境保护部门主管部门实施按日连续处罚办法》（环境保护部令第28号）、《环境保护部门主管部门实施查封、扣押办法》（环境保护部令第29号）、《环境保护部门主管部门实施限期生产、停产整治办法》（环境保护部令第30号）、《企事业单位环境信息公开办法》（环境保护部令第31号）、《中华人民共和国大气污染防治法》、《中华人民共和国水污染防治法》、《中华人民共和国固体废物污染环境防治法》、《中华人民共和国土壤污染防治法》等其他法律、法规和环保管理文件。</w:t>
      </w:r>
    </w:p>
    <w:p w14:paraId="6768FA5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（二）环境保护部《燃煤火电企业环境守法导则》。</w:t>
      </w:r>
    </w:p>
    <w:p w14:paraId="65B09788">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（三）最高人民法院、最高人民检察院《关于办理环境污染刑事案件适用法律若干问题的解释》。</w:t>
      </w:r>
    </w:p>
    <w:p w14:paraId="16C6D25C">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（四）《电力工业环境保护管理办法》（电力工业部第9号令）</w:t>
      </w:r>
    </w:p>
    <w:p w14:paraId="271028EB">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（五）甲方上级有关环保管理的规定或文件。</w:t>
      </w:r>
    </w:p>
    <w:p w14:paraId="3FC3878A">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（六）相关招标文件、施工合同有关环保条款。</w:t>
      </w:r>
    </w:p>
    <w:p w14:paraId="4A67A57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川南发电公司《环境保护管理标准》、《安全环保奖惩管理标准》、《突发环境事件应急预案》、《危险废物污染防治管理制度》、《危险废物突发环境事件应急预案》、《扬尘污染防治管理制度》、《文明生产责任区域划分及管理标准》、《垃圾处置管理办法》、《安全隐患排查治理管理制度》等。</w:t>
      </w:r>
    </w:p>
    <w:p w14:paraId="5EA79B99">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（八）川南发电有限责任公司年度安全生产、职业健康及环境保护工作目标。</w:t>
      </w:r>
    </w:p>
    <w:p w14:paraId="4F28DD1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27F3ACD8">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 甲乙双方环保管理责任</w:t>
      </w:r>
    </w:p>
    <w:p w14:paraId="5A0E5A14">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531D5AA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甲方行政正职是本单位环保管理的第一责任者，对本单位的环保工作负全面责任，并建立健全完善员工环保生产责任制。</w:t>
      </w:r>
    </w:p>
    <w:p w14:paraId="3CBB81B0">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按有关规定要求，甲方负责组织成立川南发电环境保护领导小组，领导小组下设环保办公室和环保监察办公室，负责公司环保日常管理及监察事务；实施环保生产监督、检查、指导和考核，但这并不影响和减轻乙方应承担的责任。</w:t>
      </w:r>
    </w:p>
    <w:p w14:paraId="2DBD9F0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中有关环保生产管理的规定，不得要求承包人违反环保管理的规定进行施工，不得违章指挥。</w:t>
      </w:r>
    </w:p>
    <w:p w14:paraId="7793D8E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4.甲方对乙方作业有监督职责，乙方发生不环保行为，甲方按照合同或《安全环保奖惩管理标准》进行考核。</w:t>
      </w:r>
    </w:p>
    <w:p w14:paraId="25539AD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因甲方原因导致的突发环境事件，甲方应承担相应责任。</w:t>
      </w:r>
    </w:p>
    <w:p w14:paraId="111A2D2E">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（二）乙方责任</w:t>
      </w:r>
    </w:p>
    <w:p w14:paraId="6F0BA4ED">
      <w:pPr>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乙方行政正职是本单位环保管理的第一责任人，对本单位的环保工作负全面责任，建立健全并落实全员环保生产责任制，满足环保管理要求。</w:t>
      </w:r>
    </w:p>
    <w:p w14:paraId="27A750A9">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乙方应建立健全现场环保管理组织机构，进行环保管理。组织开展各类环保安全检查和隐患排查，乙方专（兼）职环保管理人员应对作业现场、作业环境、施工人员作业行为等进行检查、监督与协调，并经常向现场甲方汇报环保监督管理情况。</w:t>
      </w:r>
    </w:p>
    <w:p w14:paraId="7395E32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有关安全管理规定，并结合本单位和生产特点，编制适合自身环保管理需要的环保管理制度，并落实和执行。</w:t>
      </w:r>
    </w:p>
    <w:p w14:paraId="29561334">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 乙方根据生产现场和作业特点，编制合理的施工组织设计，制订完善的施工方案并按有关规定报审通过后执行；方案中必须包括：完善的环保技术设施、现场环境保护措施。</w:t>
      </w:r>
    </w:p>
    <w:p w14:paraId="308DD85C">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乙方服从甲方环保领导小组及其环保办公室和环保监察办公室对环保生产的管理，随时接受环保管理人员的监督检查。参加现场有关定期和不定期安全环保活动（会议、检查），接受有关奖惩细则、办法和考核。</w:t>
      </w:r>
    </w:p>
    <w:p w14:paraId="65F3FFF3">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6. 乙方有责任加强对劳务队伍的环保工作管理，劳务队伍的突发环境事件责任</w:t>
      </w:r>
      <w:r>
        <w:rPr>
          <w:rFonts w:hint="eastAsia" w:ascii="仿宋_GB2312" w:hAnsi="仿宋_GB2312" w:eastAsia="仿宋_GB2312" w:cs="仿宋_GB2312"/>
          <w:sz w:val="24"/>
          <w:szCs w:val="24"/>
        </w:rPr>
        <w:t>乙方按照合同（或协议）由承包商及乙方负责；乙方按有关管理规定，加强对民工、合同工和新进场人员的环保管理和教育。</w:t>
      </w:r>
    </w:p>
    <w:p w14:paraId="230F8F10">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kern w:val="0"/>
          <w:sz w:val="24"/>
          <w:szCs w:val="24"/>
          <w:lang w:val="zh-CN"/>
        </w:rPr>
        <w:t xml:space="preserve"> </w:t>
      </w:r>
      <w:r>
        <w:rPr>
          <w:rFonts w:hint="eastAsia" w:ascii="仿宋_GB2312" w:hAnsi="仿宋_GB2312" w:eastAsia="仿宋_GB2312" w:cs="仿宋_GB2312"/>
          <w:sz w:val="24"/>
          <w:szCs w:val="24"/>
        </w:rPr>
        <w:t>乙方施工前应完善施工环保措施，设置各类完善的安全环保警示标识、宣传标语、危险点分析、预防隔离等。</w:t>
      </w:r>
    </w:p>
    <w:p w14:paraId="79FF4EF3">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8.乙方在施工安全技术交底的同时必须进行环保安全交底工作，并做好记录。</w:t>
      </w:r>
    </w:p>
    <w:p w14:paraId="488A9F04">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9.因乙方原因造成的安全环保事故（事件），由乙方承担责任。因乙方原因导致甲方及在甲方厂区内工作的人员遭受损失的，由乙方负责。</w:t>
      </w:r>
    </w:p>
    <w:p w14:paraId="07642030">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7116CE6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发生较大突发环境事件、重大突发环境事件，乙方应按规定立即将事故情况上报有关部门、现场组织机构及有关环保负责人，同时按政府或上级有关部门要求处理，由事件责任方承担发生的费用。甲方及时配合乙方开展应急处置工作。</w:t>
      </w:r>
    </w:p>
    <w:p w14:paraId="254741B1">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（二）甲乙双方对事件责任有争议时，应按政府或上级有关部门的认定处理。</w:t>
      </w:r>
    </w:p>
    <w:p w14:paraId="563CC9CB">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五、环保考核制度</w:t>
      </w:r>
    </w:p>
    <w:p w14:paraId="11A858EE">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甲方对乙方实行环保与经济挂钩的管理办法，及时对不环保情况进行考核。考核款由乙方到甲方财务部门缴纳现金，对拒不缴纳或未按时缴纳者甲方有权从合同款、质保金中进行扣除。</w:t>
      </w:r>
    </w:p>
    <w:p w14:paraId="71B9CE18">
      <w:pPr>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 xml:space="preserve">（一） </w:t>
      </w:r>
      <w:r>
        <w:rPr>
          <w:rFonts w:hint="eastAsia" w:ascii="仿宋_GB2312" w:hAnsi="仿宋_GB2312" w:eastAsia="仿宋_GB2312" w:cs="仿宋_GB2312"/>
          <w:bCs/>
          <w:sz w:val="24"/>
          <w:szCs w:val="24"/>
        </w:rPr>
        <w:t>若乙方发</w:t>
      </w:r>
      <w:r>
        <w:rPr>
          <w:rFonts w:hint="eastAsia" w:ascii="仿宋_GB2312" w:hAnsi="仿宋_GB2312" w:eastAsia="仿宋_GB2312" w:cs="仿宋_GB2312"/>
          <w:sz w:val="24"/>
          <w:szCs w:val="24"/>
        </w:rPr>
        <w:t>生Ⅰ级重大突发环境事件</w:t>
      </w:r>
      <w:r>
        <w:rPr>
          <w:rFonts w:hint="eastAsia" w:ascii="仿宋_GB2312" w:hAnsi="仿宋_GB2312" w:eastAsia="仿宋_GB2312" w:cs="仿宋_GB2312"/>
          <w:bCs/>
          <w:sz w:val="24"/>
          <w:szCs w:val="24"/>
        </w:rPr>
        <w:t>，</w:t>
      </w:r>
      <w:r>
        <w:rPr>
          <w:rFonts w:hint="eastAsia" w:ascii="仿宋_GB2312" w:hAnsi="仿宋_GB2312" w:eastAsia="仿宋_GB2312" w:cs="仿宋_GB2312"/>
          <w:bCs/>
          <w:color w:val="000000"/>
          <w:sz w:val="24"/>
          <w:szCs w:val="24"/>
        </w:rPr>
        <w:t>根据事件</w:t>
      </w:r>
      <w:r>
        <w:rPr>
          <w:rFonts w:hint="eastAsia" w:ascii="仿宋_GB2312" w:hAnsi="仿宋_GB2312" w:eastAsia="仿宋_GB2312" w:cs="仿宋_GB2312"/>
          <w:bCs/>
          <w:sz w:val="24"/>
          <w:szCs w:val="24"/>
        </w:rPr>
        <w:t>严重性每次从工程款中扣减5-20万元，金额不足以合同款上限为准。</w:t>
      </w:r>
    </w:p>
    <w:p w14:paraId="0D2875FD">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 xml:space="preserve">（二） </w:t>
      </w:r>
      <w:r>
        <w:rPr>
          <w:rFonts w:hint="eastAsia" w:ascii="仿宋_GB2312" w:hAnsi="仿宋_GB2312" w:eastAsia="仿宋_GB2312" w:cs="仿宋_GB2312"/>
          <w:bCs/>
          <w:sz w:val="24"/>
          <w:szCs w:val="24"/>
        </w:rPr>
        <w:t>若乙方发生Ⅱ级</w:t>
      </w:r>
      <w:r>
        <w:rPr>
          <w:rFonts w:hint="eastAsia" w:ascii="仿宋_GB2312" w:hAnsi="仿宋_GB2312" w:eastAsia="仿宋_GB2312" w:cs="仿宋_GB2312"/>
          <w:sz w:val="24"/>
          <w:szCs w:val="24"/>
        </w:rPr>
        <w:t>较大突发环境事件</w:t>
      </w:r>
      <w:r>
        <w:rPr>
          <w:rFonts w:hint="eastAsia" w:ascii="仿宋_GB2312" w:hAnsi="仿宋_GB2312" w:eastAsia="仿宋_GB2312" w:cs="仿宋_GB2312"/>
          <w:bCs/>
          <w:sz w:val="24"/>
          <w:szCs w:val="24"/>
        </w:rPr>
        <w:t>，根据事件严重性每次从工程款中扣减1000元-3</w:t>
      </w:r>
      <w:r>
        <w:rPr>
          <w:rFonts w:hint="eastAsia" w:ascii="仿宋_GB2312" w:hAnsi="仿宋_GB2312" w:eastAsia="仿宋_GB2312" w:cs="仿宋_GB2312"/>
          <w:sz w:val="24"/>
          <w:szCs w:val="24"/>
        </w:rPr>
        <w:t>万元，金额不足以合同款上限为准。</w:t>
      </w:r>
    </w:p>
    <w:p w14:paraId="6C8FD417">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若乙方发生Ⅲ级一般突发环境事件或</w:t>
      </w:r>
      <w:r>
        <w:rPr>
          <w:rFonts w:hint="eastAsia" w:ascii="仿宋_GB2312" w:hAnsi="仿宋_GB2312" w:eastAsia="仿宋_GB2312" w:cs="仿宋_GB2312"/>
          <w:bCs/>
          <w:sz w:val="24"/>
          <w:szCs w:val="24"/>
        </w:rPr>
        <w:t>污染物短时</w:t>
      </w:r>
      <w:r>
        <w:rPr>
          <w:rFonts w:hint="eastAsia" w:ascii="仿宋_GB2312" w:hAnsi="仿宋_GB2312" w:eastAsia="仿宋_GB2312" w:cs="仿宋_GB2312"/>
          <w:sz w:val="24"/>
          <w:szCs w:val="24"/>
        </w:rPr>
        <w:t>超标排放、环保隐患整改不力、环保措施执行不到位、环保管理不到位等异常情况，每次将按照甲方《安全环保奖惩管理标准》进行考核。</w:t>
      </w:r>
    </w:p>
    <w:p w14:paraId="3DAC3E7F">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129628AF">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七、环保考核制度从签订合同环保管理协议书之日</w:t>
      </w:r>
      <w:r>
        <w:rPr>
          <w:rFonts w:hint="eastAsia" w:ascii="仿宋_GB2312" w:hAnsi="仿宋_GB2312" w:eastAsia="仿宋_GB2312" w:cs="仿宋_GB2312"/>
          <w:b/>
          <w:sz w:val="24"/>
          <w:szCs w:val="24"/>
          <w:lang w:val="en-US" w:eastAsia="zh-CN"/>
        </w:rPr>
        <w:t>起</w:t>
      </w:r>
      <w:r>
        <w:rPr>
          <w:rFonts w:hint="eastAsia" w:ascii="仿宋_GB2312" w:hAnsi="仿宋_GB2312" w:eastAsia="仿宋_GB2312" w:cs="仿宋_GB2312"/>
          <w:b/>
          <w:sz w:val="24"/>
          <w:szCs w:val="24"/>
        </w:rPr>
        <w:t>执行。</w:t>
      </w:r>
    </w:p>
    <w:p w14:paraId="38835890">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608A83A1">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九、本协议作为乙方与甲方签订合同中涉及环保管理条款的具体实施细则，经双方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6B31197E">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7F89DF03">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0D057E5C">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乙方：</w:t>
      </w:r>
    </w:p>
    <w:p w14:paraId="34C70576">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35964358">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13E2C3DE">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方正小标宋简体" w:hAnsi="方正小标宋简体" w:eastAsia="方正小标宋简体" w:cs="方正小标宋简体"/>
          <w:sz w:val="44"/>
          <w:szCs w:val="44"/>
        </w:rPr>
        <w:t>廉洁协议</w:t>
      </w:r>
    </w:p>
    <w:p w14:paraId="7BBB0EB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color w:val="auto"/>
          <w:sz w:val="24"/>
          <w:szCs w:val="24"/>
          <w:lang w:val="en-US" w:eastAsia="zh-CN"/>
        </w:rPr>
        <w:t>四川泸州川南发电有限责任公司</w:t>
      </w:r>
    </w:p>
    <w:p w14:paraId="3A80B8B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乙方：</w:t>
      </w:r>
    </w:p>
    <w:p w14:paraId="3B163D23">
      <w:pPr>
        <w:keepNext w:val="0"/>
        <w:keepLines w:val="0"/>
        <w:pageBreakBefore w:val="0"/>
        <w:widowControl w:val="0"/>
        <w:kinsoku/>
        <w:wordWrap/>
        <w:overflowPunct/>
        <w:topLinePunct w:val="0"/>
        <w:autoSpaceDE/>
        <w:autoSpaceDN/>
        <w:bidi w:val="0"/>
        <w:adjustRightInd/>
        <w:snapToGrid/>
        <w:spacing w:before="313" w:beforeLines="100"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为了增强甲乙双方依法经营、廉洁从业意识，完善自我约束、自我监督机制，营造廉洁诚信工作环境，</w:t>
      </w:r>
      <w:r>
        <w:rPr>
          <w:rFonts w:hint="eastAsia" w:ascii="仿宋_GB2312" w:hAnsi="仿宋_GB2312" w:eastAsia="仿宋_GB2312" w:cs="仿宋_GB2312"/>
          <w:sz w:val="24"/>
          <w:szCs w:val="24"/>
        </w:rPr>
        <w:t>保证甲乙双方廉洁</w:t>
      </w:r>
      <w:r>
        <w:rPr>
          <w:rFonts w:hint="eastAsia" w:ascii="仿宋_GB2312" w:hAnsi="仿宋_GB2312" w:eastAsia="仿宋_GB2312" w:cs="仿宋_GB2312"/>
          <w:sz w:val="24"/>
          <w:szCs w:val="24"/>
          <w:lang w:val="en-US" w:eastAsia="zh-CN"/>
        </w:rPr>
        <w:t>开展</w:t>
      </w:r>
      <w:r>
        <w:rPr>
          <w:rFonts w:hint="eastAsia" w:ascii="仿宋_GB2312" w:hAnsi="仿宋_GB2312" w:eastAsia="仿宋_GB2312" w:cs="仿宋_GB2312"/>
          <w:sz w:val="24"/>
          <w:szCs w:val="24"/>
        </w:rPr>
        <w:t>商务合作，合法合规履行合同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防止发生商业贿赂等违法违纪行为，根据国家</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rPr>
        <w:t>关法律法规</w:t>
      </w:r>
      <w:r>
        <w:rPr>
          <w:rFonts w:hint="eastAsia" w:ascii="仿宋_GB2312" w:hAnsi="仿宋_GB2312" w:eastAsia="仿宋_GB2312" w:cs="仿宋_GB2312"/>
          <w:sz w:val="24"/>
          <w:szCs w:val="24"/>
          <w:lang w:val="en-US" w:eastAsia="zh-CN"/>
        </w:rPr>
        <w:t>和廉洁自律</w:t>
      </w:r>
      <w:r>
        <w:rPr>
          <w:rFonts w:hint="eastAsia" w:ascii="仿宋_GB2312" w:hAnsi="仿宋_GB2312" w:eastAsia="仿宋_GB2312" w:cs="仿宋_GB2312"/>
          <w:sz w:val="24"/>
          <w:szCs w:val="24"/>
        </w:rPr>
        <w:t>规定，经</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协商一致，特订立本</w:t>
      </w:r>
      <w:r>
        <w:rPr>
          <w:rFonts w:hint="eastAsia" w:ascii="仿宋_GB2312" w:hAnsi="仿宋_GB2312" w:eastAsia="仿宋_GB2312" w:cs="仿宋_GB2312"/>
          <w:sz w:val="24"/>
          <w:szCs w:val="24"/>
          <w:lang w:val="en-US" w:eastAsia="zh-CN"/>
        </w:rPr>
        <w:t>廉洁</w:t>
      </w:r>
      <w:r>
        <w:rPr>
          <w:rFonts w:hint="eastAsia" w:ascii="仿宋_GB2312" w:hAnsi="仿宋_GB2312" w:eastAsia="仿宋_GB2312" w:cs="仿宋_GB2312"/>
          <w:sz w:val="24"/>
          <w:szCs w:val="24"/>
        </w:rPr>
        <w:t>协议。</w:t>
      </w:r>
    </w:p>
    <w:p w14:paraId="6C917F85">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一、甲、乙双方的共同责任</w:t>
      </w:r>
    </w:p>
    <w:p w14:paraId="0C9EC7BC">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1.严格遵守国家有关工程建设、物资采购、招标投标、货物运输等市场经济活动的法律法规、政策以及廉政建设规定。</w:t>
      </w:r>
    </w:p>
    <w:p w14:paraId="6386FFCE">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2.严格履行合同约定，自觉承担合同义务。</w:t>
      </w:r>
    </w:p>
    <w:p w14:paraId="6ABD0777">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3.业务活动必须坚持公平、公正、公开和诚实守信的原则，不得为获取不正当利益损害国家、集体和对方利益，不违反工程建设管理、物资采购、招标投标等方面的规章制度。</w:t>
      </w:r>
    </w:p>
    <w:p w14:paraId="3B1975E8">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4.建立健全自我制约制度，开展廉洁教育，公布举报电话，监督并认 真查处违法违纪行为。</w:t>
      </w:r>
    </w:p>
    <w:p w14:paraId="6CA52CFC">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5.发现对方在业务活动中有违规、违纪、违法行为的，应及时提醒对方，情节严重的，应向有关纪检监察部门举报。</w:t>
      </w:r>
    </w:p>
    <w:p w14:paraId="47B668CE">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二、</w:t>
      </w:r>
      <w:r>
        <w:rPr>
          <w:rFonts w:hint="eastAsia" w:ascii="仿宋_GB2312" w:hAnsi="仿宋_GB2312" w:eastAsia="仿宋_GB2312" w:cs="仿宋_GB2312"/>
          <w:color w:val="000000"/>
          <w:spacing w:val="0"/>
          <w:w w:val="100"/>
          <w:position w:val="0"/>
          <w:sz w:val="24"/>
          <w:szCs w:val="24"/>
        </w:rPr>
        <w:t>甲方的责任</w:t>
      </w:r>
    </w:p>
    <w:p w14:paraId="4E0DDF2D">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甲方相关工作人员，在业务活动的事前、事中、事后，应遵守以下规定：</w:t>
      </w:r>
    </w:p>
    <w:p w14:paraId="5F81798E">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1.按照公平、公正、公开和诚实守信的原则开展各项业务活动，为乙方提供公平的竞争环境与平台；</w:t>
      </w:r>
    </w:p>
    <w:p w14:paraId="4D3082C9">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2.不向乙方泄露涉及有关业务活动的秘密；</w:t>
      </w:r>
    </w:p>
    <w:p w14:paraId="46E43DE6">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3.不参与影响相关工作正常和公正开展的其他活动；</w:t>
      </w:r>
    </w:p>
    <w:p w14:paraId="27AFC3EA">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4.不在乙方和关联单位报销任何应由甲方或个人支付的费用；</w:t>
      </w:r>
    </w:p>
    <w:p w14:paraId="2BF42E78">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5.不要求、暗示及接受乙方和关联单位为个人装修住房、婚丧嫁娶、配偶子女的工作安排以及境内外旅游等提供方便；</w:t>
      </w:r>
    </w:p>
    <w:p w14:paraId="186DC3A0">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6.不收受或索取红包、礼金、购物卡、有价证券、贵重物品、感谢费和好处费等非正当利益；</w:t>
      </w:r>
    </w:p>
    <w:p w14:paraId="65F61F3A">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7.不向乙方介绍配偶、子女、亲属参与与甲方有关的经济活动，不得以任何理由向乙方和关联单位推荐第三方单位。</w:t>
      </w:r>
    </w:p>
    <w:p w14:paraId="788D200C">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三、乙方的责任</w:t>
      </w:r>
    </w:p>
    <w:p w14:paraId="5D7A099D">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在与甲方业务交往过程中，按照有关法律法规和程序开展工作，严格执行国家的有关方针、政策，并遵守以下规定：</w:t>
      </w:r>
    </w:p>
    <w:p w14:paraId="1E2C5FB4">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1.不以任何理由为甲方和关联单位、工作人员报销应由其支付的任何费用；</w:t>
      </w:r>
    </w:p>
    <w:p w14:paraId="30AA72D2">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2.不以任何理由向甲方和关联单位、工作人员赠送红包、礼金、购物卡、有价证券、贵重物品、感谢费和好处费等非正当利益；</w:t>
      </w:r>
    </w:p>
    <w:p w14:paraId="746382A7">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3.不准为甲方和关联单位、工作人员装修住房、婚丧嫁娶、配偶子女的工作安排以及境内外旅游等提供方便；</w:t>
      </w:r>
    </w:p>
    <w:p w14:paraId="4D1F8D0C">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4.不得以谋取非正当利益为目的，擅自与甲方工作人员就业务问题进行私下商谈或者达成利益默契。</w:t>
      </w:r>
    </w:p>
    <w:p w14:paraId="3CAF395A">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四、违约责任</w:t>
      </w:r>
    </w:p>
    <w:p w14:paraId="55EF8AF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及其工作人员违反</w:t>
      </w:r>
      <w:r>
        <w:rPr>
          <w:rFonts w:hint="eastAsia" w:ascii="仿宋_GB2312" w:hAnsi="仿宋_GB2312" w:eastAsia="仿宋_GB2312" w:cs="仿宋_GB2312"/>
          <w:sz w:val="24"/>
          <w:szCs w:val="24"/>
          <w:lang w:val="en-US" w:eastAsia="zh-CN"/>
        </w:rPr>
        <w:t>以上</w:t>
      </w:r>
      <w:r>
        <w:rPr>
          <w:rFonts w:hint="eastAsia" w:ascii="仿宋_GB2312" w:hAnsi="仿宋_GB2312" w:eastAsia="仿宋_GB2312" w:cs="仿宋_GB2312"/>
          <w:sz w:val="24"/>
          <w:szCs w:val="24"/>
        </w:rPr>
        <w:t>规定的，双方均有义务向纪检监察部门举报，对于情节严重构成犯罪的，应向有关司法机关进行举报。</w:t>
      </w:r>
    </w:p>
    <w:p w14:paraId="7E1BA52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甲、乙双方共同确认，任何一方违反本协议约定，</w:t>
      </w:r>
      <w:r>
        <w:rPr>
          <w:rFonts w:hint="eastAsia" w:ascii="仿宋_GB2312" w:hAnsi="仿宋_GB2312" w:eastAsia="仿宋_GB2312" w:cs="仿宋_GB2312"/>
          <w:sz w:val="24"/>
          <w:szCs w:val="24"/>
          <w:lang w:eastAsia="zh-CN"/>
        </w:rPr>
        <w:t>按照违约责任</w:t>
      </w:r>
      <w:r>
        <w:rPr>
          <w:rFonts w:hint="eastAsia" w:ascii="仿宋_GB2312" w:hAnsi="仿宋_GB2312" w:eastAsia="仿宋_GB2312" w:cs="仿宋_GB2312"/>
          <w:b/>
          <w:bCs/>
          <w:sz w:val="24"/>
          <w:szCs w:val="24"/>
          <w:lang w:eastAsia="zh-CN"/>
        </w:rPr>
        <w:t>支付费用、赠送礼金礼品或</w:t>
      </w:r>
      <w:r>
        <w:rPr>
          <w:rFonts w:hint="eastAsia" w:ascii="仿宋_GB2312" w:hAnsi="仿宋_GB2312" w:eastAsia="仿宋_GB2312" w:cs="仿宋_GB2312"/>
          <w:b/>
          <w:bCs/>
          <w:sz w:val="24"/>
          <w:szCs w:val="24"/>
          <w:lang w:val="en-US" w:eastAsia="zh-CN"/>
        </w:rPr>
        <w:t>其他</w:t>
      </w:r>
      <w:r>
        <w:rPr>
          <w:rFonts w:hint="eastAsia" w:ascii="仿宋_GB2312" w:hAnsi="仿宋_GB2312" w:eastAsia="仿宋_GB2312" w:cs="仿宋_GB2312"/>
          <w:b/>
          <w:bCs/>
          <w:sz w:val="24"/>
          <w:szCs w:val="24"/>
          <w:lang w:eastAsia="zh-CN"/>
        </w:rPr>
        <w:t>可计算的金额予以</w:t>
      </w:r>
      <w:r>
        <w:rPr>
          <w:rFonts w:hint="eastAsia" w:ascii="仿宋_GB2312" w:hAnsi="仿宋_GB2312" w:eastAsia="仿宋_GB2312" w:cs="仿宋_GB2312"/>
          <w:b/>
          <w:bCs/>
          <w:sz w:val="24"/>
          <w:szCs w:val="24"/>
          <w:lang w:val="en-US" w:eastAsia="zh-CN"/>
        </w:rPr>
        <w:t>10倍处罚，</w:t>
      </w:r>
      <w:r>
        <w:rPr>
          <w:rFonts w:hint="eastAsia" w:ascii="仿宋_GB2312" w:hAnsi="仿宋_GB2312" w:eastAsia="仿宋_GB2312" w:cs="仿宋_GB2312"/>
          <w:sz w:val="24"/>
          <w:szCs w:val="24"/>
        </w:rPr>
        <w:t>发生商业贿赂行为，导致守约方项目遭受经济损失或影响守约方企业形象的，违约方应承担赔偿责任，同时守约方有权单方面解除合同。</w:t>
      </w:r>
    </w:p>
    <w:p w14:paraId="7199DD7D">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五、举报途径</w:t>
      </w:r>
    </w:p>
    <w:p w14:paraId="0205570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乙方可通过以下途径举报甲方人员违纪行为：</w:t>
      </w:r>
    </w:p>
    <w:p w14:paraId="2ABD404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受理部门：纪检工作部</w:t>
      </w:r>
    </w:p>
    <w:p w14:paraId="2A073B3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举报电话：</w:t>
      </w:r>
      <w:r>
        <w:rPr>
          <w:rFonts w:hint="eastAsia" w:ascii="仿宋_GB2312" w:hAnsi="仿宋_GB2312" w:eastAsia="仿宋_GB2312" w:cs="仿宋_GB2312"/>
          <w:sz w:val="24"/>
          <w:szCs w:val="24"/>
          <w:lang w:val="en-US" w:eastAsia="zh-CN"/>
        </w:rPr>
        <w:t>0830-3628952</w:t>
      </w:r>
    </w:p>
    <w:p w14:paraId="17B2BD7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举报邮箱：</w:t>
      </w:r>
      <w:r>
        <w:rPr>
          <w:rFonts w:hint="eastAsia" w:ascii="仿宋_GB2312" w:hAnsi="仿宋_GB2312" w:eastAsia="仿宋_GB2312" w:cs="仿宋_GB2312"/>
          <w:sz w:val="24"/>
          <w:szCs w:val="24"/>
          <w:lang w:val="en-US" w:eastAsia="zh-CN"/>
        </w:rPr>
        <w:t>cnfdgs20210301@163.com</w:t>
      </w:r>
    </w:p>
    <w:p w14:paraId="0D45E7C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甲方可通过以下途径举报乙方人员违纪行为：</w:t>
      </w:r>
    </w:p>
    <w:p w14:paraId="35BCADB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受理部门：</w:t>
      </w:r>
    </w:p>
    <w:p w14:paraId="19EA13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sz w:val="24"/>
          <w:szCs w:val="24"/>
        </w:rPr>
        <w:t>举报电话：</w:t>
      </w:r>
    </w:p>
    <w:p w14:paraId="7147424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sz w:val="24"/>
          <w:szCs w:val="24"/>
        </w:rPr>
        <w:t>举报邮箱：</w:t>
      </w:r>
    </w:p>
    <w:p w14:paraId="0B4F32DA">
      <w:pPr>
        <w:pStyle w:val="13"/>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六、其他</w:t>
      </w:r>
    </w:p>
    <w:p w14:paraId="357DBD32">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1.本协议书经双方盖章后生效，本协议在甲方与乙方存在业务关系期间均对双方产生约束力。</w:t>
      </w:r>
    </w:p>
    <w:p w14:paraId="057F22A0">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2.本廉洁协议书一式两份，甲、乙双方各执一份。</w:t>
      </w:r>
    </w:p>
    <w:p w14:paraId="74E7472E">
      <w:pPr>
        <w:pStyle w:val="13"/>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3.甲乙双方确认在签订本廉洁协议书前已仔细阅读条款内容，甲乙双方对本协议所产生的法律责任已清楚知悉并承诺遵守。</w:t>
      </w:r>
    </w:p>
    <w:p w14:paraId="0869848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p>
    <w:p w14:paraId="1186068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以下无正文。</w:t>
      </w:r>
    </w:p>
    <w:p w14:paraId="42E15FE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pacing w:val="-34"/>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pacing w:val="-17"/>
          <w:sz w:val="24"/>
          <w:szCs w:val="24"/>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14:paraId="71DF628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地址：四川泸州江阳区江北镇     地址：</w:t>
      </w:r>
    </w:p>
    <w:p w14:paraId="1B7B76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default" w:ascii="仿宋_GB2312" w:hAnsi="仿宋_GB2312" w:eastAsia="仿宋_GB2312" w:cs="仿宋_GB2312"/>
          <w:sz w:val="28"/>
          <w:szCs w:val="28"/>
          <w:lang w:val="en-US"/>
        </w:rPr>
      </w:pPr>
      <w:r>
        <w:rPr>
          <w:rFonts w:hint="eastAsia" w:ascii="仿宋_GB2312" w:hAnsi="仿宋_GB2312" w:eastAsia="仿宋_GB2312" w:cs="仿宋_GB2312"/>
          <w:sz w:val="24"/>
          <w:szCs w:val="24"/>
        </w:rPr>
        <w:t>签订时间：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签订时间：</w:t>
      </w:r>
    </w:p>
    <w:p w14:paraId="30A8EE25">
      <w:pPr>
        <w:pStyle w:val="11"/>
        <w:spacing w:line="360" w:lineRule="auto"/>
        <w:jc w:val="right"/>
        <w:rPr>
          <w:rFonts w:hint="eastAsia" w:ascii="仿宋_GB2312" w:hAnsi="仿宋_GB2312" w:eastAsia="仿宋_GB2312" w:cs="仿宋_GB2312"/>
          <w:color w:val="auto"/>
          <w:sz w:val="24"/>
          <w:szCs w:val="24"/>
          <w:highlight w:val="none"/>
          <w:lang w:val="en-US" w:eastAsia="zh-CN"/>
        </w:rPr>
      </w:pPr>
    </w:p>
    <w:p w14:paraId="6DB868E3">
      <w:pPr>
        <w:numPr>
          <w:ilvl w:val="0"/>
          <w:numId w:val="2"/>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评审办法</w:t>
      </w:r>
    </w:p>
    <w:p w14:paraId="3A64CA9A">
      <w:pPr>
        <w:spacing w:line="360" w:lineRule="auto"/>
        <w:ind w:firstLine="482" w:firstLineChars="20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1.</w:t>
      </w:r>
      <w:r>
        <w:rPr>
          <w:rFonts w:hint="eastAsia" w:ascii="仿宋_GB2312" w:hAnsi="仿宋_GB2312" w:eastAsia="仿宋_GB2312" w:cs="仿宋_GB2312"/>
          <w:b/>
          <w:bCs/>
          <w:color w:val="auto"/>
          <w:sz w:val="24"/>
          <w:szCs w:val="24"/>
          <w:highlight w:val="none"/>
        </w:rPr>
        <w:t>评审机构及成员</w:t>
      </w:r>
    </w:p>
    <w:p w14:paraId="1389B69C">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本项目成立评审小组。评审工作由评审小组负责。</w:t>
      </w:r>
    </w:p>
    <w:p w14:paraId="61531F96">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1.2 评审小组共5人,由</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的技术、经济专家组成，另设监</w:t>
      </w:r>
      <w:r>
        <w:rPr>
          <w:rFonts w:hint="eastAsia" w:ascii="仿宋_GB2312" w:hAnsi="仿宋_GB2312" w:eastAsia="仿宋_GB2312" w:cs="仿宋_GB2312"/>
          <w:color w:val="auto"/>
          <w:sz w:val="24"/>
          <w:szCs w:val="24"/>
          <w:highlight w:val="none"/>
          <w:lang w:eastAsia="zh-CN"/>
        </w:rPr>
        <w:t>督</w:t>
      </w:r>
      <w:r>
        <w:rPr>
          <w:rFonts w:hint="eastAsia" w:ascii="仿宋_GB2312" w:hAnsi="仿宋_GB2312" w:eastAsia="仿宋_GB2312" w:cs="仿宋_GB2312"/>
          <w:color w:val="auto"/>
          <w:sz w:val="24"/>
          <w:szCs w:val="24"/>
          <w:highlight w:val="none"/>
        </w:rPr>
        <w:t>组1人。</w:t>
      </w:r>
    </w:p>
    <w:p w14:paraId="651E5C02">
      <w:pPr>
        <w:spacing w:line="360" w:lineRule="auto"/>
        <w:ind w:firstLine="482" w:firstLineChars="200"/>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val="en-US" w:eastAsia="zh-CN"/>
        </w:rPr>
        <w:t>2.</w:t>
      </w:r>
      <w:r>
        <w:rPr>
          <w:rFonts w:hint="eastAsia" w:ascii="仿宋_GB2312" w:hAnsi="仿宋_GB2312" w:eastAsia="仿宋_GB2312" w:cs="仿宋_GB2312"/>
          <w:b/>
          <w:bCs/>
          <w:color w:val="auto"/>
          <w:sz w:val="24"/>
          <w:szCs w:val="24"/>
          <w:highlight w:val="none"/>
        </w:rPr>
        <w:t>评审程序和内容</w:t>
      </w:r>
      <w:r>
        <w:rPr>
          <w:rFonts w:hint="eastAsia" w:ascii="仿宋_GB2312" w:hAnsi="仿宋_GB2312" w:eastAsia="仿宋_GB2312" w:cs="仿宋_GB2312"/>
          <w:b/>
          <w:bCs/>
          <w:color w:val="auto"/>
          <w:sz w:val="24"/>
          <w:szCs w:val="24"/>
          <w:highlight w:val="none"/>
          <w:lang w:eastAsia="zh-CN"/>
        </w:rPr>
        <w:t>（先技术评审，再商务评审）</w:t>
      </w:r>
    </w:p>
    <w:p w14:paraId="37121889">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2.1 阅读</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lang w:eastAsia="zh"/>
        </w:rPr>
        <w:t>文件</w:t>
      </w:r>
      <w:r>
        <w:rPr>
          <w:rFonts w:hint="eastAsia" w:ascii="仿宋_GB2312" w:hAnsi="仿宋_GB2312" w:eastAsia="仿宋_GB2312" w:cs="仿宋_GB2312"/>
          <w:color w:val="auto"/>
          <w:sz w:val="24"/>
          <w:szCs w:val="24"/>
          <w:highlight w:val="none"/>
        </w:rPr>
        <w:t>及有关资料。</w:t>
      </w:r>
    </w:p>
    <w:p w14:paraId="00AE235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对</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的原件复印件（包括营业执照、银行资信证明等）、授权委托书等进行评审。有下列情形之一的，评</w:t>
      </w:r>
      <w:r>
        <w:rPr>
          <w:rFonts w:hint="eastAsia" w:ascii="仿宋_GB2312" w:hAnsi="仿宋_GB2312" w:eastAsia="仿宋_GB2312" w:cs="仿宋_GB2312"/>
          <w:color w:val="auto"/>
          <w:sz w:val="24"/>
          <w:szCs w:val="24"/>
          <w:highlight w:val="none"/>
          <w:lang w:eastAsia="zh-CN"/>
        </w:rPr>
        <w:t>审小组</w:t>
      </w:r>
      <w:r>
        <w:rPr>
          <w:rFonts w:hint="eastAsia" w:ascii="仿宋_GB2312" w:hAnsi="仿宋_GB2312" w:eastAsia="仿宋_GB2312" w:cs="仿宋_GB2312"/>
          <w:color w:val="auto"/>
          <w:sz w:val="24"/>
          <w:szCs w:val="24"/>
          <w:highlight w:val="none"/>
        </w:rPr>
        <w:t>应当否决其</w:t>
      </w:r>
      <w:r>
        <w:rPr>
          <w:rFonts w:hint="eastAsia" w:ascii="仿宋_GB2312" w:hAnsi="仿宋_GB2312" w:eastAsia="仿宋_GB2312" w:cs="仿宋_GB2312"/>
          <w:color w:val="auto"/>
          <w:sz w:val="24"/>
          <w:szCs w:val="24"/>
          <w:highlight w:val="none"/>
          <w:lang w:eastAsia="zh-CN"/>
        </w:rPr>
        <w:t>报价资格</w:t>
      </w:r>
      <w:r>
        <w:rPr>
          <w:rFonts w:hint="eastAsia" w:ascii="仿宋_GB2312" w:hAnsi="仿宋_GB2312" w:eastAsia="仿宋_GB2312" w:cs="仿宋_GB2312"/>
          <w:color w:val="auto"/>
          <w:sz w:val="24"/>
          <w:szCs w:val="24"/>
          <w:highlight w:val="none"/>
        </w:rPr>
        <w:t>：（一）</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未经</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单位盖章和单位负责人签字；（二）</w:t>
      </w:r>
      <w:r>
        <w:rPr>
          <w:rFonts w:hint="eastAsia" w:ascii="仿宋_GB2312" w:hAnsi="仿宋_GB2312" w:eastAsia="仿宋_GB2312" w:cs="仿宋_GB2312"/>
          <w:color w:val="auto"/>
          <w:sz w:val="24"/>
          <w:szCs w:val="24"/>
          <w:highlight w:val="none"/>
          <w:lang w:eastAsia="zh"/>
          <w:woUserID w:val="1"/>
        </w:rPr>
        <w:t>报价文件中提出负偏差，但因国家法律法规、政策需更改的除外</w:t>
      </w:r>
      <w:r>
        <w:rPr>
          <w:rFonts w:hint="eastAsia" w:ascii="仿宋_GB2312" w:hAnsi="仿宋_GB2312" w:eastAsia="仿宋_GB2312" w:cs="仿宋_GB2312"/>
          <w:color w:val="auto"/>
          <w:sz w:val="24"/>
          <w:szCs w:val="24"/>
          <w:highlight w:val="none"/>
        </w:rPr>
        <w:t>；（三）</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不符</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rPr>
        <w:t>文件规定的资格条件；（四）同一</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提交</w:t>
      </w:r>
      <w:r>
        <w:rPr>
          <w:rFonts w:hint="eastAsia" w:ascii="仿宋_GB2312" w:hAnsi="仿宋_GB2312" w:eastAsia="仿宋_GB2312" w:cs="仿宋_GB2312"/>
          <w:color w:val="auto"/>
          <w:sz w:val="24"/>
          <w:szCs w:val="24"/>
          <w:highlight w:val="none"/>
          <w:lang w:eastAsia="zh"/>
        </w:rPr>
        <w:t>1</w:t>
      </w:r>
      <w:r>
        <w:rPr>
          <w:rFonts w:hint="eastAsia" w:ascii="仿宋_GB2312" w:hAnsi="仿宋_GB2312" w:eastAsia="仿宋_GB2312" w:cs="仿宋_GB2312"/>
          <w:color w:val="auto"/>
          <w:sz w:val="24"/>
          <w:szCs w:val="24"/>
          <w:highlight w:val="none"/>
        </w:rPr>
        <w:t>个以上不同的</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或报价，但</w:t>
      </w:r>
      <w:r>
        <w:rPr>
          <w:rFonts w:hint="eastAsia" w:ascii="仿宋_GB2312" w:hAnsi="仿宋_GB2312" w:eastAsia="仿宋_GB2312" w:cs="仿宋_GB2312"/>
          <w:color w:val="auto"/>
          <w:sz w:val="24"/>
          <w:szCs w:val="24"/>
          <w:highlight w:val="none"/>
          <w:lang w:eastAsia="zh-CN"/>
        </w:rPr>
        <w:t>竞争性谈判文件允许二次报价或澄清的</w:t>
      </w:r>
      <w:r>
        <w:rPr>
          <w:rFonts w:hint="eastAsia" w:ascii="仿宋_GB2312" w:hAnsi="仿宋_GB2312" w:eastAsia="仿宋_GB2312" w:cs="仿宋_GB2312"/>
          <w:color w:val="auto"/>
          <w:sz w:val="24"/>
          <w:szCs w:val="24"/>
          <w:highlight w:val="none"/>
        </w:rPr>
        <w:t>除外；（五）报价</w:t>
      </w:r>
      <w:r>
        <w:rPr>
          <w:rFonts w:hint="eastAsia" w:ascii="仿宋_GB2312" w:hAnsi="仿宋_GB2312" w:eastAsia="仿宋_GB2312" w:cs="仿宋_GB2312"/>
          <w:color w:val="auto"/>
          <w:sz w:val="24"/>
          <w:szCs w:val="24"/>
          <w:highlight w:val="none"/>
          <w:lang w:eastAsia="zh-CN"/>
        </w:rPr>
        <w:t>明显</w:t>
      </w:r>
      <w:r>
        <w:rPr>
          <w:rFonts w:hint="eastAsia" w:ascii="仿宋_GB2312" w:hAnsi="仿宋_GB2312" w:eastAsia="仿宋_GB2312" w:cs="仿宋_GB2312"/>
          <w:color w:val="auto"/>
          <w:sz w:val="24"/>
          <w:szCs w:val="24"/>
          <w:highlight w:val="none"/>
        </w:rPr>
        <w:t>低于</w:t>
      </w:r>
      <w:r>
        <w:rPr>
          <w:rFonts w:hint="eastAsia" w:ascii="仿宋_GB2312" w:hAnsi="仿宋_GB2312" w:eastAsia="仿宋_GB2312" w:cs="仿宋_GB2312"/>
          <w:color w:val="auto"/>
          <w:sz w:val="24"/>
          <w:szCs w:val="24"/>
          <w:highlight w:val="none"/>
          <w:lang w:eastAsia="zh-CN"/>
        </w:rPr>
        <w:t>项目</w:t>
      </w:r>
      <w:r>
        <w:rPr>
          <w:rFonts w:hint="eastAsia" w:ascii="仿宋_GB2312" w:hAnsi="仿宋_GB2312" w:eastAsia="仿宋_GB2312" w:cs="仿宋_GB2312"/>
          <w:color w:val="auto"/>
          <w:sz w:val="24"/>
          <w:szCs w:val="24"/>
          <w:highlight w:val="none"/>
        </w:rPr>
        <w:t>成本或者高于</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rPr>
        <w:t>文件设定的最高限价；（六）</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没有对</w:t>
      </w:r>
      <w:r>
        <w:rPr>
          <w:rFonts w:hint="eastAsia" w:ascii="仿宋_GB2312" w:hAnsi="仿宋_GB2312" w:eastAsia="仿宋_GB2312" w:cs="仿宋_GB2312"/>
          <w:color w:val="auto"/>
          <w:sz w:val="24"/>
          <w:szCs w:val="24"/>
          <w:highlight w:val="none"/>
          <w:lang w:eastAsia="zh-CN"/>
        </w:rPr>
        <w:t>竞争性</w:t>
      </w:r>
      <w:r>
        <w:rPr>
          <w:rFonts w:hint="eastAsia" w:ascii="仿宋_GB2312" w:hAnsi="仿宋_GB2312" w:eastAsia="仿宋_GB2312" w:cs="仿宋_GB2312"/>
          <w:color w:val="auto"/>
          <w:sz w:val="24"/>
          <w:szCs w:val="24"/>
          <w:highlight w:val="none"/>
        </w:rPr>
        <w:t>文件的实质性要求和条件作出响应；（七）</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有</w:t>
      </w:r>
      <w:r>
        <w:rPr>
          <w:rFonts w:hint="eastAsia" w:ascii="仿宋_GB2312" w:hAnsi="仿宋_GB2312" w:eastAsia="仿宋_GB2312" w:cs="仿宋_GB2312"/>
          <w:color w:val="auto"/>
          <w:sz w:val="24"/>
          <w:szCs w:val="24"/>
          <w:highlight w:val="none"/>
          <w:lang w:eastAsia="zh-CN"/>
        </w:rPr>
        <w:t>违反报价纪律的</w:t>
      </w:r>
      <w:r>
        <w:rPr>
          <w:rFonts w:hint="eastAsia" w:ascii="仿宋_GB2312" w:hAnsi="仿宋_GB2312" w:eastAsia="仿宋_GB2312" w:cs="仿宋_GB2312"/>
          <w:color w:val="auto"/>
          <w:sz w:val="24"/>
          <w:szCs w:val="24"/>
          <w:highlight w:val="none"/>
        </w:rPr>
        <w:t>行为。</w:t>
      </w:r>
    </w:p>
    <w:p w14:paraId="63C559F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2.2 </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文件澄清</w:t>
      </w:r>
    </w:p>
    <w:p w14:paraId="7C0D98E0">
      <w:pPr>
        <w:spacing w:line="360" w:lineRule="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在必要时，为有助于</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文件的审查、评价和比较，评审专家认为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提供的符合性审查资料在形式上存在瑕疵的</w:t>
      </w:r>
      <w:r>
        <w:rPr>
          <w:rFonts w:hint="eastAsia" w:ascii="仿宋_GB2312" w:hAnsi="仿宋_GB2312" w:eastAsia="仿宋_GB2312" w:cs="仿宋_GB2312"/>
          <w:color w:val="auto"/>
          <w:sz w:val="24"/>
          <w:szCs w:val="24"/>
          <w:highlight w:val="none"/>
          <w:lang w:eastAsia="zh-CN"/>
        </w:rPr>
        <w:t>或报价文件</w:t>
      </w:r>
      <w:r>
        <w:rPr>
          <w:rFonts w:hint="eastAsia" w:ascii="仿宋_GB2312" w:hAnsi="仿宋_GB2312" w:eastAsia="仿宋_GB2312" w:cs="仿宋_GB2312"/>
          <w:color w:val="auto"/>
          <w:sz w:val="24"/>
          <w:szCs w:val="24"/>
          <w:highlight w:val="none"/>
        </w:rPr>
        <w:t>有</w:t>
      </w:r>
      <w:r>
        <w:rPr>
          <w:rFonts w:hint="eastAsia" w:ascii="仿宋_GB2312" w:hAnsi="仿宋_GB2312" w:eastAsia="仿宋_GB2312" w:cs="仿宋_GB2312"/>
          <w:color w:val="auto"/>
          <w:sz w:val="24"/>
          <w:szCs w:val="24"/>
          <w:highlight w:val="none"/>
          <w:lang w:eastAsia="zh-CN"/>
        </w:rPr>
        <w:t>表意</w:t>
      </w:r>
      <w:r>
        <w:rPr>
          <w:rFonts w:hint="eastAsia" w:ascii="仿宋_GB2312" w:hAnsi="仿宋_GB2312" w:eastAsia="仿宋_GB2312" w:cs="仿宋_GB2312"/>
          <w:color w:val="auto"/>
          <w:sz w:val="24"/>
          <w:szCs w:val="24"/>
          <w:highlight w:val="none"/>
        </w:rPr>
        <w:t>不清的地方，</w:t>
      </w:r>
      <w:r>
        <w:rPr>
          <w:rFonts w:hint="eastAsia" w:ascii="仿宋_GB2312" w:hAnsi="仿宋_GB2312" w:eastAsia="仿宋_GB2312" w:cs="仿宋_GB2312"/>
          <w:color w:val="auto"/>
          <w:sz w:val="24"/>
          <w:szCs w:val="24"/>
          <w:highlight w:val="none"/>
          <w:lang w:eastAsia="zh-CN"/>
        </w:rPr>
        <w:t>可以</w:t>
      </w:r>
      <w:r>
        <w:rPr>
          <w:rFonts w:hint="eastAsia" w:ascii="仿宋_GB2312" w:hAnsi="仿宋_GB2312" w:eastAsia="仿宋_GB2312" w:cs="仿宋_GB2312"/>
          <w:color w:val="auto"/>
          <w:sz w:val="24"/>
          <w:szCs w:val="24"/>
          <w:highlight w:val="none"/>
        </w:rPr>
        <w:t>要求</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对</w:t>
      </w:r>
      <w:r>
        <w:rPr>
          <w:rFonts w:hint="eastAsia" w:ascii="仿宋_GB2312" w:hAnsi="仿宋_GB2312" w:eastAsia="仿宋_GB2312" w:cs="仿宋_GB2312"/>
          <w:color w:val="auto"/>
          <w:sz w:val="24"/>
          <w:szCs w:val="24"/>
          <w:highlight w:val="none"/>
          <w:lang w:eastAsia="zh-CN"/>
        </w:rPr>
        <w:t>瑕疵</w:t>
      </w:r>
      <w:r>
        <w:rPr>
          <w:rFonts w:hint="eastAsia" w:ascii="仿宋_GB2312" w:hAnsi="仿宋_GB2312" w:eastAsia="仿宋_GB2312" w:cs="仿宋_GB2312"/>
          <w:color w:val="auto"/>
          <w:sz w:val="24"/>
          <w:szCs w:val="24"/>
          <w:highlight w:val="none"/>
        </w:rPr>
        <w:t>进行补正，但不得要求</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提供全新的</w:t>
      </w:r>
      <w:r>
        <w:rPr>
          <w:rFonts w:hint="eastAsia" w:ascii="仿宋_GB2312" w:hAnsi="仿宋_GB2312" w:eastAsia="仿宋_GB2312" w:cs="仿宋_GB2312"/>
          <w:color w:val="auto"/>
          <w:sz w:val="24"/>
          <w:szCs w:val="24"/>
          <w:highlight w:val="none"/>
          <w:lang w:eastAsia="zh-CN"/>
        </w:rPr>
        <w:t>、可额外增加</w:t>
      </w:r>
      <w:r>
        <w:rPr>
          <w:rFonts w:hint="eastAsia" w:ascii="仿宋_GB2312" w:hAnsi="仿宋_GB2312" w:eastAsia="仿宋_GB2312" w:cs="仿宋_GB2312"/>
          <w:color w:val="auto"/>
          <w:sz w:val="24"/>
          <w:szCs w:val="24"/>
          <w:highlight w:val="none"/>
        </w:rPr>
        <w:t>其评审得分的</w:t>
      </w:r>
      <w:r>
        <w:rPr>
          <w:rFonts w:hint="eastAsia" w:ascii="仿宋_GB2312" w:hAnsi="仿宋_GB2312" w:eastAsia="仿宋_GB2312" w:cs="仿宋_GB2312"/>
          <w:color w:val="auto"/>
          <w:sz w:val="24"/>
          <w:szCs w:val="24"/>
          <w:highlight w:val="none"/>
          <w:lang w:eastAsia="zh-CN"/>
        </w:rPr>
        <w:t>证明</w:t>
      </w:r>
      <w:r>
        <w:rPr>
          <w:rFonts w:hint="eastAsia" w:ascii="仿宋_GB2312" w:hAnsi="仿宋_GB2312" w:eastAsia="仿宋_GB2312" w:cs="仿宋_GB2312"/>
          <w:color w:val="auto"/>
          <w:sz w:val="24"/>
          <w:szCs w:val="24"/>
          <w:highlight w:val="none"/>
        </w:rPr>
        <w:t>资料。评审小组</w:t>
      </w:r>
      <w:r>
        <w:rPr>
          <w:rFonts w:hint="eastAsia" w:ascii="仿宋_GB2312" w:hAnsi="仿宋_GB2312" w:eastAsia="仿宋_GB2312" w:cs="仿宋_GB2312"/>
          <w:color w:val="auto"/>
          <w:sz w:val="24"/>
          <w:szCs w:val="24"/>
          <w:highlight w:val="none"/>
          <w:lang w:eastAsia="zh-CN"/>
        </w:rPr>
        <w:t>应</w:t>
      </w:r>
      <w:r>
        <w:rPr>
          <w:rFonts w:hint="eastAsia" w:ascii="仿宋_GB2312" w:hAnsi="仿宋_GB2312" w:eastAsia="仿宋_GB2312" w:cs="仿宋_GB2312"/>
          <w:color w:val="auto"/>
          <w:sz w:val="24"/>
          <w:szCs w:val="24"/>
          <w:highlight w:val="none"/>
        </w:rPr>
        <w:t>以书面</w:t>
      </w:r>
      <w:r>
        <w:rPr>
          <w:rFonts w:hint="eastAsia" w:ascii="仿宋_GB2312" w:hAnsi="仿宋_GB2312" w:eastAsia="仿宋_GB2312" w:cs="仿宋_GB2312"/>
          <w:color w:val="auto"/>
          <w:sz w:val="24"/>
          <w:szCs w:val="24"/>
          <w:highlight w:val="none"/>
          <w:lang w:eastAsia="zh-CN"/>
        </w:rPr>
        <w:t>形式</w:t>
      </w:r>
      <w:r>
        <w:rPr>
          <w:rFonts w:hint="eastAsia" w:ascii="仿宋_GB2312" w:hAnsi="仿宋_GB2312" w:eastAsia="仿宋_GB2312" w:cs="仿宋_GB2312"/>
          <w:color w:val="auto"/>
          <w:sz w:val="24"/>
          <w:szCs w:val="24"/>
          <w:highlight w:val="none"/>
        </w:rPr>
        <w:t>进行澄清，</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接到评审小组书面澄清问题后</w:t>
      </w:r>
      <w:r>
        <w:rPr>
          <w:rFonts w:hint="eastAsia" w:ascii="仿宋_GB2312" w:hAnsi="仿宋_GB2312" w:eastAsia="仿宋_GB2312" w:cs="仿宋_GB2312"/>
          <w:color w:val="auto"/>
          <w:sz w:val="24"/>
          <w:szCs w:val="24"/>
          <w:highlight w:val="none"/>
          <w:lang w:eastAsia="zh-CN"/>
        </w:rPr>
        <w:t>的一小时内</w:t>
      </w:r>
      <w:r>
        <w:rPr>
          <w:rFonts w:hint="eastAsia" w:ascii="仿宋_GB2312" w:hAnsi="仿宋_GB2312" w:eastAsia="仿宋_GB2312" w:cs="仿宋_GB2312"/>
          <w:color w:val="auto"/>
          <w:sz w:val="24"/>
          <w:szCs w:val="24"/>
          <w:highlight w:val="none"/>
        </w:rPr>
        <w:t>以书面形式将澄清</w:t>
      </w:r>
      <w:r>
        <w:rPr>
          <w:rFonts w:hint="eastAsia" w:ascii="仿宋_GB2312" w:hAnsi="仿宋_GB2312" w:eastAsia="仿宋_GB2312" w:cs="仿宋_GB2312"/>
          <w:color w:val="auto"/>
          <w:sz w:val="24"/>
          <w:szCs w:val="24"/>
          <w:highlight w:val="none"/>
          <w:lang w:eastAsia="zh-CN"/>
        </w:rPr>
        <w:t>及补正资料</w:t>
      </w:r>
      <w:r>
        <w:rPr>
          <w:rFonts w:hint="eastAsia" w:ascii="仿宋_GB2312" w:hAnsi="仿宋_GB2312" w:eastAsia="仿宋_GB2312" w:cs="仿宋_GB2312"/>
          <w:color w:val="auto"/>
          <w:sz w:val="24"/>
          <w:szCs w:val="24"/>
          <w:highlight w:val="none"/>
        </w:rPr>
        <w:t>回复</w:t>
      </w:r>
      <w:r>
        <w:rPr>
          <w:rFonts w:hint="eastAsia" w:ascii="仿宋_GB2312" w:hAnsi="仿宋_GB2312" w:eastAsia="仿宋_GB2312" w:cs="仿宋_GB2312"/>
          <w:color w:val="auto"/>
          <w:sz w:val="24"/>
          <w:szCs w:val="24"/>
          <w:highlight w:val="none"/>
          <w:lang w:eastAsia="zh-CN"/>
        </w:rPr>
        <w:t>至</w:t>
      </w:r>
      <w:r>
        <w:rPr>
          <w:rFonts w:hint="eastAsia" w:ascii="仿宋_GB2312" w:hAnsi="仿宋_GB2312" w:eastAsia="仿宋_GB2312" w:cs="仿宋_GB2312"/>
          <w:color w:val="auto"/>
          <w:sz w:val="24"/>
          <w:szCs w:val="24"/>
          <w:highlight w:val="none"/>
        </w:rPr>
        <w:t>评审组</w:t>
      </w:r>
      <w:r>
        <w:rPr>
          <w:rFonts w:hint="eastAsia" w:ascii="仿宋_GB2312" w:hAnsi="仿宋_GB2312" w:eastAsia="仿宋_GB2312" w:cs="仿宋_GB2312"/>
          <w:color w:val="auto"/>
          <w:sz w:val="24"/>
          <w:szCs w:val="24"/>
          <w:highlight w:val="none"/>
          <w:lang w:eastAsia="zh-CN"/>
        </w:rPr>
        <w:t>，未在时限内完成补正或</w:t>
      </w:r>
      <w:r>
        <w:rPr>
          <w:rFonts w:hint="eastAsia" w:ascii="仿宋_GB2312" w:hAnsi="仿宋_GB2312" w:eastAsia="仿宋_GB2312" w:cs="仿宋_GB2312"/>
          <w:color w:val="auto"/>
          <w:sz w:val="24"/>
          <w:szCs w:val="24"/>
          <w:highlight w:val="none"/>
        </w:rPr>
        <w:t>经补正仍不符合公告要求的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评审组</w:t>
      </w:r>
      <w:r>
        <w:rPr>
          <w:rFonts w:hint="eastAsia" w:ascii="仿宋_GB2312" w:hAnsi="仿宋_GB2312" w:eastAsia="仿宋_GB2312" w:cs="仿宋_GB2312"/>
          <w:color w:val="auto"/>
          <w:sz w:val="24"/>
          <w:szCs w:val="24"/>
          <w:highlight w:val="none"/>
        </w:rPr>
        <w:t>应视为未提供该项资料。</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澄清回复应有法定代表人或被授权代表人签字</w:t>
      </w:r>
      <w:r>
        <w:rPr>
          <w:rFonts w:hint="eastAsia" w:ascii="仿宋_GB2312" w:hAnsi="仿宋_GB2312" w:eastAsia="仿宋_GB2312" w:cs="仿宋_GB2312"/>
          <w:color w:val="auto"/>
          <w:sz w:val="24"/>
          <w:szCs w:val="24"/>
          <w:highlight w:val="none"/>
          <w:lang w:eastAsia="zh-CN"/>
        </w:rPr>
        <w:t>并加盖</w:t>
      </w:r>
      <w:r>
        <w:rPr>
          <w:rFonts w:hint="eastAsia" w:ascii="仿宋_GB2312" w:hAnsi="仿宋_GB2312" w:eastAsia="仿宋_GB2312" w:cs="仿宋_GB2312"/>
          <w:color w:val="auto"/>
          <w:sz w:val="24"/>
          <w:szCs w:val="24"/>
          <w:highlight w:val="none"/>
        </w:rPr>
        <w:t>公章，澄清问题回复</w:t>
      </w:r>
      <w:r>
        <w:rPr>
          <w:rFonts w:hint="eastAsia" w:ascii="仿宋_GB2312" w:hAnsi="仿宋_GB2312" w:eastAsia="仿宋_GB2312" w:cs="仿宋_GB2312"/>
          <w:color w:val="auto"/>
          <w:sz w:val="24"/>
          <w:szCs w:val="24"/>
          <w:highlight w:val="none"/>
          <w:lang w:eastAsia="zh-CN"/>
        </w:rPr>
        <w:t>将成</w:t>
      </w:r>
      <w:r>
        <w:rPr>
          <w:rFonts w:hint="eastAsia" w:ascii="仿宋_GB2312" w:hAnsi="仿宋_GB2312" w:eastAsia="仿宋_GB2312" w:cs="仿宋_GB2312"/>
          <w:color w:val="auto"/>
          <w:sz w:val="24"/>
          <w:szCs w:val="24"/>
          <w:highlight w:val="none"/>
        </w:rPr>
        <w:t>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文件的组成部分。</w:t>
      </w:r>
      <w:r>
        <w:rPr>
          <w:rFonts w:hint="eastAsia" w:ascii="仿宋_GB2312" w:hAnsi="仿宋_GB2312" w:eastAsia="仿宋_GB2312" w:cs="仿宋_GB2312"/>
          <w:color w:val="auto"/>
          <w:sz w:val="24"/>
          <w:szCs w:val="24"/>
          <w:highlight w:val="none"/>
          <w:lang w:eastAsia="zh-CN"/>
        </w:rPr>
        <w:t>澄清文件收发邮箱地址为：</w:t>
      </w:r>
      <w:r>
        <w:rPr>
          <w:rFonts w:hint="eastAsia" w:ascii="仿宋_GB2312" w:hAnsi="仿宋_GB2312" w:eastAsia="仿宋_GB2312" w:cs="仿宋_GB2312"/>
          <w:color w:val="auto"/>
          <w:sz w:val="24"/>
          <w:szCs w:val="24"/>
          <w:highlight w:val="none"/>
          <w:lang w:val="en-US" w:eastAsia="zh-CN"/>
        </w:rPr>
        <w:t>cnfdjzxtp@163.com。</w:t>
      </w:r>
    </w:p>
    <w:p w14:paraId="2FE1079C">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2.3 综合</w:t>
      </w:r>
      <w:r>
        <w:rPr>
          <w:rFonts w:hint="eastAsia" w:ascii="仿宋_GB2312" w:hAnsi="仿宋_GB2312" w:eastAsia="仿宋_GB2312" w:cs="仿宋_GB2312"/>
          <w:color w:val="auto"/>
          <w:sz w:val="24"/>
          <w:szCs w:val="24"/>
          <w:highlight w:val="none"/>
          <w:lang w:eastAsia="zh"/>
        </w:rPr>
        <w:t>评审程序</w:t>
      </w:r>
    </w:p>
    <w:p w14:paraId="473593F0">
      <w:pPr>
        <w:spacing w:line="360" w:lineRule="auto"/>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eastAsia="zh"/>
        </w:rPr>
        <w:t xml:space="preserve">  2.3.1符合性审查</w:t>
      </w:r>
    </w:p>
    <w:p w14:paraId="1B17AE44">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2.3.2技术评分，但合格报价人的数量不具有竞争性的，评审终止，采购人有权根据实际情况决定是否重新组织采购。</w:t>
      </w:r>
    </w:p>
    <w:p w14:paraId="7055F6D9">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2.3.3价格谈判。评审小组对合格报价人进行价格谈判。</w:t>
      </w:r>
    </w:p>
    <w:p w14:paraId="7CD4327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
        </w:rPr>
        <w:t>2.3.4</w:t>
      </w:r>
      <w:r>
        <w:rPr>
          <w:rFonts w:hint="eastAsia" w:ascii="仿宋_GB2312" w:hAnsi="仿宋_GB2312" w:eastAsia="仿宋_GB2312" w:cs="仿宋_GB2312"/>
          <w:color w:val="auto"/>
          <w:sz w:val="24"/>
          <w:szCs w:val="24"/>
          <w:highlight w:val="none"/>
        </w:rPr>
        <w:t>评审应依据评审办法对</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进行详细评审，合理评定打分，统计排序。</w:t>
      </w:r>
    </w:p>
    <w:p w14:paraId="3919BA3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r>
        <w:rPr>
          <w:rFonts w:hint="eastAsia" w:ascii="仿宋_GB2312" w:hAnsi="仿宋_GB2312" w:eastAsia="仿宋_GB2312" w:cs="仿宋_GB2312"/>
          <w:color w:val="auto"/>
          <w:sz w:val="24"/>
          <w:szCs w:val="24"/>
          <w:highlight w:val="none"/>
          <w:lang w:eastAsia="zh"/>
        </w:rPr>
        <w:t>4</w:t>
      </w:r>
      <w:r>
        <w:rPr>
          <w:rFonts w:hint="eastAsia" w:ascii="仿宋_GB2312" w:hAnsi="仿宋_GB2312" w:eastAsia="仿宋_GB2312" w:cs="仿宋_GB2312"/>
          <w:color w:val="auto"/>
          <w:sz w:val="24"/>
          <w:szCs w:val="24"/>
          <w:highlight w:val="none"/>
        </w:rPr>
        <w:t xml:space="preserve"> 编制评审报告</w:t>
      </w:r>
    </w:p>
    <w:p w14:paraId="72BBFE3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评审小组完成评审后，应编写评审报告。</w:t>
      </w:r>
    </w:p>
    <w:p w14:paraId="26F95FD4">
      <w:pPr>
        <w:spacing w:line="360" w:lineRule="auto"/>
        <w:ind w:firstLine="482" w:firstLineChars="20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rPr>
        <w:t>评审办法</w:t>
      </w:r>
    </w:p>
    <w:p w14:paraId="44A024D9">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3.1符合性审查</w:t>
      </w:r>
    </w:p>
    <w:p w14:paraId="1F669BB2">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对照“合格的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”内容一一审查各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的</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lang w:eastAsia="zh"/>
        </w:rPr>
        <w:t>，得出各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的符合性结论。</w:t>
      </w:r>
    </w:p>
    <w:p w14:paraId="49415D18">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未通过符合性审查的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将被否决，评审专家不再对其进行技术评审和商务评审。</w:t>
      </w:r>
    </w:p>
    <w:p w14:paraId="4E9F99DE">
      <w:pPr>
        <w:spacing w:line="360" w:lineRule="auto"/>
        <w:ind w:firstLine="480" w:firstLineChars="200"/>
        <w:jc w:val="left"/>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2</w:t>
      </w:r>
      <w:r>
        <w:rPr>
          <w:rFonts w:hint="eastAsia" w:ascii="仿宋_GB2312" w:hAnsi="仿宋_GB2312" w:eastAsia="仿宋_GB2312" w:cs="仿宋_GB2312"/>
          <w:color w:val="auto"/>
          <w:sz w:val="24"/>
          <w:szCs w:val="24"/>
          <w:highlight w:val="none"/>
        </w:rPr>
        <w:t>技术评分细则（满分100分，</w:t>
      </w:r>
      <w:r>
        <w:rPr>
          <w:rFonts w:hint="eastAsia" w:ascii="仿宋_GB2312" w:hAnsi="仿宋_GB2312" w:eastAsia="仿宋_GB2312" w:cs="仿宋_GB2312"/>
          <w:color w:val="auto"/>
          <w:sz w:val="24"/>
          <w:szCs w:val="24"/>
          <w:highlight w:val="none"/>
          <w:lang w:eastAsia="zh-CN"/>
        </w:rPr>
        <w:t>权重</w:t>
      </w:r>
      <w:r>
        <w:rPr>
          <w:rFonts w:hint="eastAsia" w:ascii="仿宋_GB2312" w:hAnsi="仿宋_GB2312" w:eastAsia="仿宋_GB2312" w:cs="仿宋_GB2312"/>
          <w:color w:val="auto"/>
          <w:sz w:val="24"/>
          <w:szCs w:val="24"/>
          <w:highlight w:val="none"/>
          <w:lang w:val="en-US" w:eastAsia="zh-CN"/>
        </w:rPr>
        <w:t>0.4</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见下附表1）</w:t>
      </w:r>
    </w:p>
    <w:p w14:paraId="7E9AA9E5">
      <w:pPr>
        <w:spacing w:line="360" w:lineRule="auto"/>
        <w:ind w:firstLine="482" w:firstLineChars="200"/>
        <w:jc w:val="both"/>
        <w:rPr>
          <w:rFonts w:hint="eastAsia" w:ascii="仿宋_GB2312" w:hAnsi="仿宋_GB2312" w:eastAsia="仿宋_GB2312" w:cs="仿宋_GB2312"/>
          <w:b/>
          <w:bCs w:val="0"/>
          <w:color w:val="auto"/>
          <w:sz w:val="24"/>
          <w:szCs w:val="24"/>
          <w:highlight w:val="none"/>
        </w:rPr>
      </w:pPr>
      <w:r>
        <w:rPr>
          <w:rFonts w:hint="eastAsia" w:ascii="仿宋_GB2312" w:hAnsi="仿宋_GB2312" w:eastAsia="仿宋_GB2312" w:cs="仿宋_GB2312"/>
          <w:b/>
          <w:bCs w:val="0"/>
          <w:color w:val="auto"/>
          <w:sz w:val="24"/>
          <w:szCs w:val="24"/>
          <w:highlight w:val="none"/>
        </w:rPr>
        <w:t>技术评分表</w:t>
      </w:r>
    </w:p>
    <w:p w14:paraId="33563648">
      <w:pPr>
        <w:spacing w:line="360" w:lineRule="auto"/>
        <w:jc w:val="center"/>
        <w:rPr>
          <w:rFonts w:hint="eastAsia" w:ascii="仿宋_GB2312" w:hAnsi="仿宋_GB2312" w:eastAsia="仿宋_GB2312" w:cs="仿宋_GB2312"/>
          <w:b/>
          <w:bCs w:val="0"/>
          <w:color w:val="auto"/>
          <w:sz w:val="24"/>
          <w:szCs w:val="24"/>
          <w:highlight w:val="none"/>
        </w:rPr>
      </w:pPr>
      <w:r>
        <w:rPr>
          <w:rFonts w:hint="eastAsia" w:ascii="仿宋_GB2312" w:hAnsi="仿宋_GB2312" w:eastAsia="仿宋_GB2312" w:cs="仿宋_GB2312"/>
          <w:b/>
          <w:bCs w:val="0"/>
          <w:color w:val="auto"/>
          <w:sz w:val="24"/>
          <w:szCs w:val="24"/>
          <w:highlight w:val="none"/>
        </w:rPr>
        <w:t>评分标准</w:t>
      </w:r>
    </w:p>
    <w:p w14:paraId="6264DB3C">
      <w:pPr>
        <w:spacing w:line="240" w:lineRule="auto"/>
        <w:jc w:val="center"/>
        <w:rPr>
          <w:rFonts w:hint="eastAsia" w:ascii="仿宋_GB2312" w:hAnsi="仿宋_GB2312" w:eastAsia="仿宋_GB2312" w:cs="仿宋_GB2312"/>
          <w:color w:val="auto"/>
          <w:sz w:val="24"/>
          <w:szCs w:val="24"/>
          <w:highlight w:val="none"/>
        </w:rPr>
      </w:pPr>
    </w:p>
    <w:tbl>
      <w:tblPr>
        <w:tblStyle w:val="8"/>
        <w:tblW w:w="50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692"/>
        <w:gridCol w:w="1078"/>
        <w:gridCol w:w="7021"/>
      </w:tblGrid>
      <w:tr w14:paraId="1313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6BC4DFF9">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序号</w:t>
            </w:r>
          </w:p>
        </w:tc>
        <w:tc>
          <w:tcPr>
            <w:tcW w:w="790" w:type="pct"/>
            <w:noWrap w:val="0"/>
            <w:vAlign w:val="center"/>
          </w:tcPr>
          <w:p w14:paraId="32258A25">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评分项目</w:t>
            </w:r>
          </w:p>
        </w:tc>
        <w:tc>
          <w:tcPr>
            <w:tcW w:w="503" w:type="pct"/>
            <w:noWrap w:val="0"/>
            <w:vAlign w:val="center"/>
          </w:tcPr>
          <w:p w14:paraId="21274EB8">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标准分</w:t>
            </w:r>
          </w:p>
        </w:tc>
        <w:tc>
          <w:tcPr>
            <w:tcW w:w="3281" w:type="pct"/>
            <w:noWrap w:val="0"/>
            <w:vAlign w:val="center"/>
          </w:tcPr>
          <w:p w14:paraId="6C4F13B7">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评分标准</w:t>
            </w:r>
          </w:p>
        </w:tc>
      </w:tr>
      <w:tr w14:paraId="78D87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757D57AE">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1</w:t>
            </w:r>
          </w:p>
        </w:tc>
        <w:tc>
          <w:tcPr>
            <w:tcW w:w="790" w:type="pct"/>
            <w:noWrap w:val="0"/>
            <w:vAlign w:val="center"/>
          </w:tcPr>
          <w:p w14:paraId="2CD389F7">
            <w:pPr>
              <w:spacing w:line="240" w:lineRule="auto"/>
              <w:jc w:val="center"/>
              <w:rPr>
                <w:rFonts w:hint="eastAsia" w:ascii="仿宋_GB2312" w:hAnsi="仿宋_GB2312" w:eastAsia="仿宋_GB2312" w:cs="仿宋_GB2312"/>
                <w:kern w:val="2"/>
                <w:sz w:val="24"/>
                <w:szCs w:val="24"/>
                <w:highlight w:val="yellow"/>
                <w:vertAlign w:val="baseline"/>
                <w:lang w:val="en-US" w:eastAsia="zh-CN" w:bidi="ar-SA"/>
              </w:rPr>
            </w:pPr>
            <w:r>
              <w:rPr>
                <w:rFonts w:hint="eastAsia" w:ascii="仿宋_GB2312" w:hAnsi="仿宋_GB2312" w:eastAsia="仿宋_GB2312" w:cs="仿宋_GB2312"/>
                <w:sz w:val="24"/>
              </w:rPr>
              <w:t>资质业绩</w:t>
            </w:r>
          </w:p>
        </w:tc>
        <w:tc>
          <w:tcPr>
            <w:tcW w:w="503" w:type="pct"/>
            <w:noWrap w:val="0"/>
            <w:vAlign w:val="center"/>
          </w:tcPr>
          <w:p w14:paraId="331CEC91">
            <w:pPr>
              <w:spacing w:line="240" w:lineRule="auto"/>
              <w:jc w:val="center"/>
              <w:rPr>
                <w:rFonts w:hint="default"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30</w:t>
            </w:r>
          </w:p>
        </w:tc>
        <w:tc>
          <w:tcPr>
            <w:tcW w:w="3281" w:type="pct"/>
            <w:noWrap w:val="0"/>
            <w:vAlign w:val="center"/>
          </w:tcPr>
          <w:p w14:paraId="7F3FDD0C">
            <w:pPr>
              <w:spacing w:line="24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①</w:t>
            </w:r>
            <w:r>
              <w:rPr>
                <w:rFonts w:hint="eastAsia" w:ascii="仿宋_GB2312" w:hAnsi="仿宋_GB2312" w:eastAsia="仿宋_GB2312" w:cs="仿宋_GB2312"/>
                <w:color w:val="auto"/>
                <w:sz w:val="24"/>
              </w:rPr>
              <w:t>报价人在</w:t>
            </w:r>
            <w:r>
              <w:rPr>
                <w:rFonts w:hint="eastAsia" w:ascii="仿宋_GB2312" w:hAnsi="仿宋_GB2312" w:eastAsia="仿宋_GB2312" w:cs="仿宋_GB2312"/>
                <w:color w:val="auto"/>
                <w:sz w:val="24"/>
                <w:lang w:eastAsia="zh"/>
                <w:woUserID w:val="1"/>
              </w:rPr>
              <w:t>近</w:t>
            </w:r>
            <w:r>
              <w:rPr>
                <w:rFonts w:hint="eastAsia" w:ascii="仿宋_GB2312" w:hAnsi="仿宋_GB2312" w:eastAsia="仿宋_GB2312" w:cs="仿宋_GB2312"/>
                <w:color w:val="auto"/>
                <w:sz w:val="24"/>
              </w:rPr>
              <w:t>3年内（2022年1月至今）</w:t>
            </w:r>
            <w:r>
              <w:rPr>
                <w:rFonts w:hint="eastAsia" w:ascii="仿宋_GB2312" w:hAnsi="仿宋_GB2312" w:eastAsia="仿宋_GB2312" w:cs="仿宋_GB2312"/>
                <w:color w:val="auto"/>
                <w:sz w:val="24"/>
                <w:lang w:eastAsia="zh"/>
                <w:woUserID w:val="1"/>
              </w:rPr>
              <w:t>至少</w:t>
            </w:r>
            <w:r>
              <w:rPr>
                <w:rFonts w:hint="eastAsia" w:ascii="仿宋_GB2312" w:hAnsi="仿宋_GB2312" w:eastAsia="仿宋_GB2312" w:cs="仿宋_GB2312"/>
                <w:color w:val="auto"/>
                <w:sz w:val="24"/>
              </w:rPr>
              <w:t>具有1个感温光纤报警类似光纤感应类项目安装或改造（或总承包项目中包含安装或改造）业绩得基本分10分；</w:t>
            </w:r>
          </w:p>
          <w:p w14:paraId="6C790E0D">
            <w:pPr>
              <w:spacing w:line="24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②每增加一个感温光纤报警类似光纤感应类项目安装或改造（或总承包项目中包含安装或改造）业绩加5分；</w:t>
            </w:r>
          </w:p>
          <w:p w14:paraId="458AB1D8">
            <w:pPr>
              <w:spacing w:line="240" w:lineRule="auto"/>
              <w:jc w:val="left"/>
              <w:rPr>
                <w:rFonts w:hint="default" w:ascii="仿宋_GB2312" w:hAnsi="仿宋_GB2312" w:eastAsia="仿宋_GB2312" w:cs="仿宋_GB2312"/>
                <w:kern w:val="2"/>
                <w:sz w:val="24"/>
                <w:szCs w:val="24"/>
                <w:highlight w:val="yellow"/>
                <w:vertAlign w:val="baseline"/>
                <w:lang w:val="en-US" w:eastAsia="zh-CN" w:bidi="ar-SA"/>
              </w:rPr>
            </w:pPr>
            <w:r>
              <w:rPr>
                <w:rFonts w:hint="eastAsia" w:ascii="仿宋_GB2312" w:hAnsi="仿宋_GB2312" w:eastAsia="仿宋_GB2312" w:cs="仿宋_GB2312"/>
                <w:color w:val="auto"/>
                <w:sz w:val="24"/>
              </w:rPr>
              <w:t>①+②不超30分。</w:t>
            </w:r>
          </w:p>
        </w:tc>
      </w:tr>
      <w:tr w14:paraId="12BDF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07D3781E">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2</w:t>
            </w:r>
          </w:p>
        </w:tc>
        <w:tc>
          <w:tcPr>
            <w:tcW w:w="790" w:type="pct"/>
            <w:noWrap w:val="0"/>
            <w:vAlign w:val="center"/>
          </w:tcPr>
          <w:p w14:paraId="5EDA6938">
            <w:pPr>
              <w:spacing w:line="240" w:lineRule="auto"/>
              <w:jc w:val="center"/>
              <w:rPr>
                <w:rFonts w:hint="eastAsia" w:ascii="仿宋_GB2312" w:hAnsi="仿宋_GB2312" w:eastAsia="仿宋_GB2312" w:cs="仿宋_GB2312"/>
                <w:bCs/>
                <w:kern w:val="2"/>
                <w:sz w:val="24"/>
                <w:szCs w:val="24"/>
                <w:highlight w:val="yellow"/>
                <w:lang w:val="en-US" w:eastAsia="zh-CN" w:bidi="ar-SA"/>
              </w:rPr>
            </w:pPr>
            <w:r>
              <w:rPr>
                <w:rFonts w:hint="eastAsia" w:ascii="仿宋_GB2312" w:hAnsi="仿宋_GB2312" w:eastAsia="仿宋_GB2312" w:cs="仿宋_GB2312"/>
                <w:color w:val="auto"/>
                <w:sz w:val="24"/>
              </w:rPr>
              <w:t>改造方案</w:t>
            </w:r>
          </w:p>
        </w:tc>
        <w:tc>
          <w:tcPr>
            <w:tcW w:w="503" w:type="pct"/>
            <w:noWrap w:val="0"/>
            <w:vAlign w:val="center"/>
          </w:tcPr>
          <w:p w14:paraId="25C6F8E7">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30</w:t>
            </w:r>
          </w:p>
        </w:tc>
        <w:tc>
          <w:tcPr>
            <w:tcW w:w="3281" w:type="pct"/>
            <w:noWrap w:val="0"/>
            <w:vAlign w:val="center"/>
          </w:tcPr>
          <w:p w14:paraId="5DBE3325">
            <w:pPr>
              <w:rPr>
                <w:rFonts w:hint="default" w:ascii="仿宋_GB2312" w:hAnsi="仿宋_GB2312" w:eastAsia="仿宋_GB2312" w:cs="仿宋_GB2312"/>
                <w:bCs/>
                <w:kern w:val="2"/>
                <w:sz w:val="24"/>
                <w:szCs w:val="24"/>
                <w:highlight w:val="yellow"/>
                <w:lang w:val="en-US" w:eastAsia="zh-CN" w:bidi="ar-SA"/>
              </w:rPr>
            </w:pPr>
            <w:r>
              <w:rPr>
                <w:rFonts w:hint="eastAsia" w:ascii="仿宋_GB2312" w:hAnsi="仿宋_GB2312" w:eastAsia="仿宋_GB2312" w:cs="仿宋_GB2312"/>
                <w:color w:val="auto"/>
                <w:sz w:val="24"/>
              </w:rPr>
              <w:t>根据报价人改造方案的内容清晰、严谨细致、专项说明、针对性、可操作性方面进行评审，优得21-30分；良得11-20分；差得1-10分。</w:t>
            </w:r>
          </w:p>
        </w:tc>
      </w:tr>
      <w:tr w14:paraId="0A05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3D8F5D87">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3</w:t>
            </w:r>
          </w:p>
        </w:tc>
        <w:tc>
          <w:tcPr>
            <w:tcW w:w="790" w:type="pct"/>
            <w:noWrap w:val="0"/>
            <w:vAlign w:val="center"/>
          </w:tcPr>
          <w:p w14:paraId="4BF33345">
            <w:pPr>
              <w:jc w:val="center"/>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sz w:val="24"/>
                <w:highlight w:val="none"/>
              </w:rPr>
              <w:t>设备供货指标、参数</w:t>
            </w:r>
          </w:p>
        </w:tc>
        <w:tc>
          <w:tcPr>
            <w:tcW w:w="503" w:type="pct"/>
            <w:noWrap w:val="0"/>
            <w:vAlign w:val="center"/>
          </w:tcPr>
          <w:p w14:paraId="21820A8C">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20</w:t>
            </w:r>
          </w:p>
        </w:tc>
        <w:tc>
          <w:tcPr>
            <w:tcW w:w="3281" w:type="pct"/>
            <w:noWrap w:val="0"/>
            <w:vAlign w:val="center"/>
          </w:tcPr>
          <w:p w14:paraId="19A266AC">
            <w:pPr>
              <w:spacing w:line="240" w:lineRule="auto"/>
              <w:jc w:val="left"/>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bCs/>
                <w:sz w:val="24"/>
                <w:highlight w:val="none"/>
              </w:rPr>
              <w:t>根据报价人供货设备功能、性能参数、备品备件数量等进行横向比较评分，优得14-20分；良得7-13分；差得1-6分。</w:t>
            </w:r>
          </w:p>
        </w:tc>
      </w:tr>
      <w:tr w14:paraId="0053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53A96B80">
            <w:pPr>
              <w:spacing w:line="240" w:lineRule="auto"/>
              <w:jc w:val="center"/>
              <w:rPr>
                <w:rFonts w:hint="eastAsia" w:ascii="仿宋_GB2312" w:hAnsi="仿宋_GB2312" w:eastAsia="仿宋_GB2312" w:cs="仿宋_GB2312"/>
                <w:color w:val="auto"/>
                <w:sz w:val="24"/>
                <w:szCs w:val="24"/>
                <w:highlight w:val="none"/>
                <w:vertAlign w:val="baseline"/>
                <w:lang w:val="en-US" w:eastAsia="zh"/>
              </w:rPr>
            </w:pPr>
            <w:r>
              <w:rPr>
                <w:rFonts w:hint="eastAsia" w:ascii="仿宋_GB2312" w:hAnsi="仿宋_GB2312" w:eastAsia="仿宋_GB2312" w:cs="仿宋_GB2312"/>
                <w:color w:val="auto"/>
                <w:sz w:val="24"/>
                <w:szCs w:val="24"/>
                <w:highlight w:val="none"/>
                <w:vertAlign w:val="baseline"/>
                <w:lang w:val="en-US" w:eastAsia="zh"/>
              </w:rPr>
              <w:t>4</w:t>
            </w:r>
          </w:p>
        </w:tc>
        <w:tc>
          <w:tcPr>
            <w:tcW w:w="790" w:type="pct"/>
            <w:noWrap w:val="0"/>
            <w:vAlign w:val="center"/>
          </w:tcPr>
          <w:p w14:paraId="7DA433AF">
            <w:pPr>
              <w:spacing w:line="240" w:lineRule="auto"/>
              <w:jc w:val="center"/>
              <w:rPr>
                <w:rFonts w:hint="eastAsia" w:ascii="仿宋_GB2312" w:hAnsi="仿宋_GB2312" w:eastAsia="仿宋_GB2312" w:cs="仿宋_GB2312"/>
                <w:bCs w:val="0"/>
                <w:sz w:val="24"/>
                <w:szCs w:val="24"/>
                <w:lang w:eastAsia="zh-CN"/>
              </w:rPr>
            </w:pPr>
            <w:r>
              <w:rPr>
                <w:rFonts w:hint="eastAsia" w:ascii="仿宋_GB2312" w:hAnsi="仿宋_GB2312" w:eastAsia="仿宋_GB2312" w:cs="仿宋_GB2312"/>
                <w:sz w:val="24"/>
              </w:rPr>
              <w:t>质量保证及售后服务</w:t>
            </w:r>
          </w:p>
        </w:tc>
        <w:tc>
          <w:tcPr>
            <w:tcW w:w="503" w:type="pct"/>
            <w:noWrap w:val="0"/>
            <w:vAlign w:val="center"/>
          </w:tcPr>
          <w:p w14:paraId="685D69C6">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15</w:t>
            </w:r>
          </w:p>
        </w:tc>
        <w:tc>
          <w:tcPr>
            <w:tcW w:w="3281" w:type="pct"/>
            <w:noWrap w:val="0"/>
            <w:vAlign w:val="center"/>
          </w:tcPr>
          <w:p w14:paraId="6E2DC8E3">
            <w:pPr>
              <w:pStyle w:val="2"/>
              <w:rPr>
                <w:rFonts w:hint="eastAsia" w:ascii="仿宋_GB2312" w:hAnsi="仿宋_GB2312" w:eastAsia="仿宋_GB2312" w:cs="仿宋_GB2312"/>
                <w:bCs w:val="0"/>
                <w:color w:val="auto"/>
                <w:sz w:val="24"/>
                <w:szCs w:val="24"/>
                <w:lang w:val="en-US" w:eastAsia="zh-CN"/>
              </w:rPr>
            </w:pPr>
            <w:r>
              <w:rPr>
                <w:rFonts w:hint="eastAsia" w:ascii="仿宋_GB2312" w:hAnsi="仿宋_GB2312" w:eastAsia="仿宋_GB2312" w:cs="仿宋_GB2312"/>
                <w:color w:val="auto"/>
                <w:sz w:val="24"/>
              </w:rPr>
              <w:t>根据质量保证措施完善，售后、质保承诺等方面横向比较评分，优得11-15分；良得6-10分；差得1-5分。</w:t>
            </w:r>
          </w:p>
        </w:tc>
      </w:tr>
      <w:tr w14:paraId="09D56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4AC96130">
            <w:pPr>
              <w:spacing w:line="240" w:lineRule="auto"/>
              <w:jc w:val="center"/>
              <w:rPr>
                <w:rFonts w:hint="default"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
              </w:rPr>
              <w:t>5</w:t>
            </w:r>
          </w:p>
        </w:tc>
        <w:tc>
          <w:tcPr>
            <w:tcW w:w="790" w:type="pct"/>
            <w:noWrap w:val="0"/>
            <w:vAlign w:val="center"/>
          </w:tcPr>
          <w:p w14:paraId="2A83ACE9">
            <w:pPr>
              <w:spacing w:line="240" w:lineRule="auto"/>
              <w:jc w:val="center"/>
              <w:rPr>
                <w:rFonts w:hint="eastAsia" w:ascii="仿宋_GB2312" w:hAnsi="仿宋_GB2312" w:eastAsia="仿宋_GB2312" w:cs="仿宋_GB2312"/>
                <w:bCs/>
                <w:kern w:val="2"/>
                <w:sz w:val="24"/>
                <w:szCs w:val="24"/>
                <w:highlight w:val="yellow"/>
                <w:lang w:val="en-US" w:eastAsia="zh-CN" w:bidi="ar-SA"/>
              </w:rPr>
            </w:pPr>
            <w:r>
              <w:rPr>
                <w:rFonts w:hint="eastAsia" w:ascii="仿宋_GB2312" w:hAnsi="仿宋_GB2312" w:eastAsia="仿宋_GB2312" w:cs="仿宋_GB2312"/>
                <w:sz w:val="24"/>
              </w:rPr>
              <w:t>对采购文件的响应程度及报价文件的完整规范性</w:t>
            </w:r>
          </w:p>
        </w:tc>
        <w:tc>
          <w:tcPr>
            <w:tcW w:w="503" w:type="pct"/>
            <w:noWrap w:val="0"/>
            <w:vAlign w:val="center"/>
          </w:tcPr>
          <w:p w14:paraId="7EAA6788">
            <w:pPr>
              <w:spacing w:line="240" w:lineRule="auto"/>
              <w:jc w:val="center"/>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5</w:t>
            </w:r>
          </w:p>
        </w:tc>
        <w:tc>
          <w:tcPr>
            <w:tcW w:w="3281" w:type="pct"/>
            <w:noWrap w:val="0"/>
            <w:vAlign w:val="center"/>
          </w:tcPr>
          <w:p w14:paraId="2637B9FB">
            <w:pPr>
              <w:spacing w:line="240" w:lineRule="auto"/>
              <w:jc w:val="left"/>
              <w:rPr>
                <w:rFonts w:hint="eastAsia" w:ascii="仿宋_GB2312" w:hAnsi="仿宋_GB2312" w:eastAsia="仿宋_GB2312" w:cs="仿宋_GB2312"/>
                <w:sz w:val="24"/>
              </w:rPr>
            </w:pPr>
            <w:r>
              <w:rPr>
                <w:rFonts w:hint="eastAsia" w:ascii="仿宋_GB2312" w:hAnsi="仿宋_GB2312" w:eastAsia="仿宋_GB2312" w:cs="仿宋_GB2312"/>
                <w:sz w:val="24"/>
              </w:rPr>
              <w:t>好    4-5分；</w:t>
            </w:r>
          </w:p>
          <w:p w14:paraId="232D8E89">
            <w:pPr>
              <w:pStyle w:val="2"/>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rPr>
              <w:t>一般  1-3分。</w:t>
            </w:r>
          </w:p>
        </w:tc>
      </w:tr>
      <w:tr w14:paraId="5FF5F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32C92E54">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p>
        </w:tc>
        <w:tc>
          <w:tcPr>
            <w:tcW w:w="790" w:type="pct"/>
            <w:noWrap w:val="0"/>
            <w:vAlign w:val="center"/>
          </w:tcPr>
          <w:p w14:paraId="29B87F19">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总分</w:t>
            </w:r>
          </w:p>
        </w:tc>
        <w:tc>
          <w:tcPr>
            <w:tcW w:w="503" w:type="pct"/>
            <w:noWrap w:val="0"/>
            <w:vAlign w:val="center"/>
          </w:tcPr>
          <w:p w14:paraId="47CFB7A4">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100</w:t>
            </w:r>
          </w:p>
        </w:tc>
        <w:tc>
          <w:tcPr>
            <w:tcW w:w="3281" w:type="pct"/>
            <w:noWrap w:val="0"/>
            <w:vAlign w:val="center"/>
          </w:tcPr>
          <w:p w14:paraId="2DB664AB">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p>
        </w:tc>
      </w:tr>
    </w:tbl>
    <w:p w14:paraId="4799FCB0">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的</w:t>
      </w:r>
      <w:r>
        <w:rPr>
          <w:rFonts w:hint="eastAsia" w:ascii="仿宋_GB2312" w:hAnsi="仿宋_GB2312" w:eastAsia="仿宋_GB2312" w:cs="仿宋_GB2312"/>
          <w:color w:val="auto"/>
          <w:sz w:val="24"/>
          <w:szCs w:val="24"/>
          <w:highlight w:val="none"/>
          <w:lang w:eastAsia="zh"/>
        </w:rPr>
        <w:t>技术</w:t>
      </w:r>
      <w:r>
        <w:rPr>
          <w:rFonts w:hint="eastAsia" w:ascii="仿宋_GB2312" w:hAnsi="仿宋_GB2312" w:eastAsia="仿宋_GB2312" w:cs="仿宋_GB2312"/>
          <w:color w:val="auto"/>
          <w:sz w:val="24"/>
          <w:szCs w:val="24"/>
          <w:highlight w:val="none"/>
        </w:rPr>
        <w:t>得分取</w:t>
      </w:r>
      <w:r>
        <w:rPr>
          <w:rFonts w:hint="eastAsia" w:ascii="仿宋_GB2312" w:hAnsi="仿宋_GB2312" w:eastAsia="仿宋_GB2312" w:cs="仿宋_GB2312"/>
          <w:color w:val="auto"/>
          <w:sz w:val="24"/>
          <w:szCs w:val="24"/>
          <w:highlight w:val="none"/>
          <w:lang w:eastAsia="zh"/>
        </w:rPr>
        <w:t>各</w:t>
      </w:r>
      <w:r>
        <w:rPr>
          <w:rFonts w:hint="eastAsia" w:ascii="仿宋_GB2312" w:hAnsi="仿宋_GB2312" w:eastAsia="仿宋_GB2312" w:cs="仿宋_GB2312"/>
          <w:color w:val="auto"/>
          <w:sz w:val="24"/>
          <w:szCs w:val="24"/>
          <w:highlight w:val="none"/>
          <w:lang w:eastAsia="zh-CN"/>
        </w:rPr>
        <w:t>评审专家</w:t>
      </w:r>
      <w:r>
        <w:rPr>
          <w:rFonts w:hint="eastAsia" w:ascii="仿宋_GB2312" w:hAnsi="仿宋_GB2312" w:eastAsia="仿宋_GB2312" w:cs="仿宋_GB2312"/>
          <w:color w:val="auto"/>
          <w:sz w:val="24"/>
          <w:szCs w:val="24"/>
          <w:highlight w:val="none"/>
          <w:lang w:eastAsia="zh"/>
        </w:rPr>
        <w:t>所评审的技术总分</w:t>
      </w:r>
      <w:r>
        <w:rPr>
          <w:rFonts w:hint="eastAsia" w:ascii="仿宋_GB2312" w:hAnsi="仿宋_GB2312" w:eastAsia="仿宋_GB2312" w:cs="仿宋_GB2312"/>
          <w:color w:val="auto"/>
          <w:sz w:val="24"/>
          <w:szCs w:val="24"/>
          <w:highlight w:val="none"/>
        </w:rPr>
        <w:t>的算术平均值；计分保留至小数点后两位。</w:t>
      </w:r>
    </w:p>
    <w:p w14:paraId="2B56C7D6">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报价评分（满分100分</w:t>
      </w:r>
      <w:r>
        <w:rPr>
          <w:rFonts w:hint="eastAsia" w:ascii="仿宋_GB2312" w:hAnsi="仿宋_GB2312" w:eastAsia="仿宋_GB2312" w:cs="仿宋_GB2312"/>
          <w:color w:val="auto"/>
          <w:sz w:val="24"/>
          <w:szCs w:val="24"/>
          <w:highlight w:val="none"/>
          <w:lang w:eastAsia="zh-CN"/>
        </w:rPr>
        <w:t>，权重</w:t>
      </w:r>
      <w:r>
        <w:rPr>
          <w:rFonts w:hint="eastAsia" w:ascii="仿宋_GB2312" w:hAnsi="仿宋_GB2312" w:eastAsia="仿宋_GB2312" w:cs="仿宋_GB2312"/>
          <w:color w:val="auto"/>
          <w:sz w:val="24"/>
          <w:szCs w:val="24"/>
          <w:highlight w:val="none"/>
          <w:lang w:val="en-US" w:eastAsia="zh-CN"/>
        </w:rPr>
        <w:t>0.6</w:t>
      </w:r>
      <w:r>
        <w:rPr>
          <w:rFonts w:hint="eastAsia" w:ascii="仿宋_GB2312" w:hAnsi="仿宋_GB2312" w:eastAsia="仿宋_GB2312" w:cs="仿宋_GB2312"/>
          <w:color w:val="auto"/>
          <w:sz w:val="24"/>
          <w:szCs w:val="24"/>
          <w:highlight w:val="none"/>
        </w:rPr>
        <w:t>）</w:t>
      </w:r>
    </w:p>
    <w:p w14:paraId="60C4B918">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.1确定评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价（以</w:t>
      </w:r>
      <w:r>
        <w:rPr>
          <w:rFonts w:hint="eastAsia" w:ascii="仿宋_GB2312" w:hAnsi="仿宋_GB2312" w:eastAsia="仿宋_GB2312" w:cs="仿宋_GB2312"/>
          <w:color w:val="auto"/>
          <w:sz w:val="24"/>
          <w:szCs w:val="24"/>
          <w:highlight w:val="none"/>
          <w:lang w:eastAsia="zh-CN"/>
        </w:rPr>
        <w:t>综合含税</w:t>
      </w:r>
      <w:r>
        <w:rPr>
          <w:rFonts w:hint="eastAsia" w:ascii="仿宋_GB2312" w:hAnsi="仿宋_GB2312" w:eastAsia="仿宋_GB2312" w:cs="仿宋_GB2312"/>
          <w:color w:val="auto"/>
          <w:sz w:val="24"/>
          <w:szCs w:val="24"/>
          <w:highlight w:val="none"/>
        </w:rPr>
        <w:t>总价为评</w:t>
      </w:r>
      <w:r>
        <w:rPr>
          <w:rFonts w:hint="eastAsia" w:ascii="仿宋_GB2312" w:hAnsi="仿宋_GB2312" w:eastAsia="仿宋_GB2312" w:cs="仿宋_GB2312"/>
          <w:color w:val="auto"/>
          <w:sz w:val="24"/>
          <w:szCs w:val="24"/>
          <w:highlight w:val="none"/>
          <w:lang w:eastAsia="zh-CN"/>
        </w:rPr>
        <w:t>审价</w:t>
      </w:r>
      <w:r>
        <w:rPr>
          <w:rFonts w:hint="eastAsia" w:ascii="仿宋_GB2312" w:hAnsi="仿宋_GB2312" w:eastAsia="仿宋_GB2312" w:cs="仿宋_GB2312"/>
          <w:color w:val="auto"/>
          <w:sz w:val="24"/>
          <w:szCs w:val="24"/>
          <w:highlight w:val="none"/>
        </w:rPr>
        <w:t>）</w:t>
      </w:r>
    </w:p>
    <w:p w14:paraId="6ACB703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价为经</w:t>
      </w:r>
      <w:r>
        <w:rPr>
          <w:rFonts w:hint="eastAsia" w:ascii="仿宋_GB2312" w:hAnsi="仿宋_GB2312" w:eastAsia="仿宋_GB2312" w:cs="仿宋_GB2312"/>
          <w:color w:val="auto"/>
          <w:sz w:val="24"/>
          <w:szCs w:val="24"/>
          <w:highlight w:val="none"/>
          <w:lang w:eastAsia="zh-CN"/>
        </w:rPr>
        <w:t>协商谈判</w:t>
      </w:r>
      <w:r>
        <w:rPr>
          <w:rFonts w:hint="eastAsia" w:ascii="仿宋_GB2312" w:hAnsi="仿宋_GB2312" w:eastAsia="仿宋_GB2312" w:cs="仿宋_GB2312"/>
          <w:color w:val="auto"/>
          <w:sz w:val="24"/>
          <w:szCs w:val="24"/>
          <w:highlight w:val="none"/>
        </w:rPr>
        <w:t>调整后的</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w:t>
      </w:r>
      <w:r>
        <w:rPr>
          <w:rFonts w:hint="eastAsia" w:ascii="仿宋_GB2312" w:hAnsi="仿宋_GB2312" w:eastAsia="仿宋_GB2312" w:cs="仿宋_GB2312"/>
          <w:color w:val="auto"/>
          <w:sz w:val="24"/>
          <w:szCs w:val="24"/>
          <w:highlight w:val="none"/>
          <w:lang w:eastAsia="zh-CN"/>
        </w:rPr>
        <w:t>综合含税总</w:t>
      </w:r>
      <w:r>
        <w:rPr>
          <w:rFonts w:hint="eastAsia" w:ascii="仿宋_GB2312" w:hAnsi="仿宋_GB2312" w:eastAsia="仿宋_GB2312" w:cs="仿宋_GB2312"/>
          <w:color w:val="auto"/>
          <w:sz w:val="24"/>
          <w:szCs w:val="24"/>
          <w:highlight w:val="none"/>
        </w:rPr>
        <w:t>报价。</w:t>
      </w:r>
    </w:p>
    <w:p w14:paraId="74DFF80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说明：</w:t>
      </w:r>
    </w:p>
    <w:p w14:paraId="2243594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（1）若因税金不一致，则在评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时修正到同一个标准。</w:t>
      </w:r>
    </w:p>
    <w:p w14:paraId="45383BB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价仅作为评审时将各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报价调整到同一水平，以便进行比较，中选后合同价仍然为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报价。</w:t>
      </w:r>
    </w:p>
    <w:p w14:paraId="63E41703">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.2 报价得分</w:t>
      </w:r>
    </w:p>
    <w:p w14:paraId="3032608A">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报价人报价中</w:t>
      </w:r>
      <w:r>
        <w:rPr>
          <w:rFonts w:hint="eastAsia" w:ascii="仿宋_GB2312" w:hAnsi="仿宋_GB2312" w:eastAsia="仿宋_GB2312" w:cs="仿宋_GB2312"/>
          <w:color w:val="auto"/>
          <w:sz w:val="24"/>
          <w:szCs w:val="24"/>
          <w:highlight w:val="none"/>
        </w:rPr>
        <w:t>的最低价</w:t>
      </w:r>
      <w:r>
        <w:rPr>
          <w:rFonts w:hint="eastAsia" w:ascii="仿宋_GB2312" w:hAnsi="仿宋_GB2312" w:eastAsia="仿宋_GB2312" w:cs="仿宋_GB2312"/>
          <w:color w:val="auto"/>
          <w:sz w:val="24"/>
          <w:szCs w:val="24"/>
          <w:highlight w:val="none"/>
          <w:lang w:eastAsia="zh-CN"/>
        </w:rPr>
        <w:t>为有效最低评审价，</w:t>
      </w:r>
      <w:r>
        <w:rPr>
          <w:rFonts w:hint="eastAsia" w:ascii="仿宋_GB2312" w:hAnsi="仿宋_GB2312" w:eastAsia="仿宋_GB2312" w:cs="仿宋_GB2312"/>
          <w:color w:val="auto"/>
          <w:sz w:val="24"/>
          <w:szCs w:val="24"/>
          <w:highlight w:val="none"/>
        </w:rPr>
        <w:t>得分为100分。</w:t>
      </w:r>
      <w:r>
        <w:rPr>
          <w:rFonts w:hint="eastAsia" w:ascii="仿宋_GB2312" w:hAnsi="仿宋_GB2312" w:eastAsia="仿宋_GB2312" w:cs="仿宋_GB2312"/>
          <w:color w:val="auto"/>
          <w:sz w:val="24"/>
          <w:szCs w:val="24"/>
          <w:highlight w:val="none"/>
          <w:lang w:eastAsia="zh-CN"/>
        </w:rPr>
        <w:t>其他报价人</w:t>
      </w:r>
      <w:r>
        <w:rPr>
          <w:rFonts w:hint="eastAsia" w:ascii="仿宋_GB2312" w:hAnsi="仿宋_GB2312" w:eastAsia="仿宋_GB2312" w:cs="仿宋_GB2312"/>
          <w:color w:val="auto"/>
          <w:sz w:val="24"/>
          <w:szCs w:val="24"/>
          <w:highlight w:val="none"/>
        </w:rPr>
        <w:t>的评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价高于有效最低评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价，每高1%扣0.5分，扣完为止。计算分值时保留小数点后二位。</w:t>
      </w:r>
    </w:p>
    <w:p w14:paraId="322BC6B1">
      <w:pPr>
        <w:spacing w:line="360" w:lineRule="auto"/>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报价得分＝100-[(评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 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价×100]×0.5。</w:t>
      </w:r>
    </w:p>
    <w:p w14:paraId="1FB0C083">
      <w:pPr>
        <w:spacing w:line="360" w:lineRule="auto"/>
        <w:ind w:firstLine="482" w:firstLineChars="200"/>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4.</w:t>
      </w:r>
      <w:r>
        <w:rPr>
          <w:rFonts w:hint="eastAsia" w:ascii="仿宋_GB2312" w:hAnsi="仿宋_GB2312" w:eastAsia="仿宋_GB2312" w:cs="仿宋_GB2312"/>
          <w:b/>
          <w:bCs/>
          <w:color w:val="auto"/>
          <w:sz w:val="24"/>
          <w:szCs w:val="24"/>
          <w:highlight w:val="none"/>
        </w:rPr>
        <w:t>综合评分</w:t>
      </w:r>
    </w:p>
    <w:p w14:paraId="53CB431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满分为100分，其中技术</w:t>
      </w:r>
      <w:r>
        <w:rPr>
          <w:rFonts w:hint="eastAsia" w:ascii="仿宋_GB2312" w:hAnsi="仿宋_GB2312" w:eastAsia="仿宋_GB2312" w:cs="仿宋_GB2312"/>
          <w:color w:val="auto"/>
          <w:sz w:val="24"/>
          <w:szCs w:val="24"/>
          <w:highlight w:val="none"/>
          <w:lang w:eastAsia="zh-CN"/>
        </w:rPr>
        <w:t>得</w:t>
      </w:r>
      <w:r>
        <w:rPr>
          <w:rFonts w:hint="eastAsia" w:ascii="仿宋_GB2312" w:hAnsi="仿宋_GB2312" w:eastAsia="仿宋_GB2312" w:cs="仿宋_GB2312"/>
          <w:color w:val="auto"/>
          <w:sz w:val="24"/>
          <w:szCs w:val="24"/>
          <w:highlight w:val="none"/>
        </w:rPr>
        <w:t>分权重为0.</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0；报价</w:t>
      </w:r>
      <w:r>
        <w:rPr>
          <w:rFonts w:hint="eastAsia" w:ascii="仿宋_GB2312" w:hAnsi="仿宋_GB2312" w:eastAsia="仿宋_GB2312" w:cs="仿宋_GB2312"/>
          <w:color w:val="auto"/>
          <w:sz w:val="24"/>
          <w:szCs w:val="24"/>
          <w:highlight w:val="none"/>
          <w:lang w:eastAsia="zh-CN"/>
        </w:rPr>
        <w:t>得分</w:t>
      </w:r>
      <w:r>
        <w:rPr>
          <w:rFonts w:hint="eastAsia" w:ascii="仿宋_GB2312" w:hAnsi="仿宋_GB2312" w:eastAsia="仿宋_GB2312" w:cs="仿宋_GB2312"/>
          <w:color w:val="auto"/>
          <w:sz w:val="24"/>
          <w:szCs w:val="24"/>
          <w:highlight w:val="none"/>
        </w:rPr>
        <w:t>权重为0.</w:t>
      </w:r>
      <w:r>
        <w:rPr>
          <w:rFonts w:hint="eastAsia" w:ascii="仿宋_GB2312" w:hAnsi="仿宋_GB2312" w:eastAsia="仿宋_GB2312" w:cs="仿宋_GB2312"/>
          <w:color w:val="auto"/>
          <w:sz w:val="24"/>
          <w:szCs w:val="24"/>
          <w:highlight w:val="none"/>
          <w:lang w:val="en-US" w:eastAsia="zh-CN"/>
        </w:rPr>
        <w:t>6</w:t>
      </w:r>
      <w:r>
        <w:rPr>
          <w:rFonts w:hint="eastAsia" w:ascii="仿宋_GB2312" w:hAnsi="仿宋_GB2312" w:eastAsia="仿宋_GB2312" w:cs="仿宋_GB2312"/>
          <w:color w:val="auto"/>
          <w:sz w:val="24"/>
          <w:szCs w:val="24"/>
          <w:highlight w:val="none"/>
        </w:rPr>
        <w:t>0。</w:t>
      </w:r>
    </w:p>
    <w:p w14:paraId="5336DFF3">
      <w:pPr>
        <w:spacing w:line="360" w:lineRule="auto"/>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
        </w:rPr>
        <w:t>报价</w:t>
      </w:r>
      <w:r>
        <w:rPr>
          <w:rFonts w:hint="eastAsia" w:ascii="仿宋_GB2312" w:hAnsi="仿宋_GB2312" w:eastAsia="仿宋_GB2312" w:cs="仿宋_GB2312"/>
          <w:color w:val="auto"/>
          <w:sz w:val="24"/>
          <w:szCs w:val="24"/>
          <w:highlight w:val="none"/>
        </w:rPr>
        <w:t>单位综合得分=技术得分×0.</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+报价得分×0.</w:t>
      </w:r>
      <w:r>
        <w:rPr>
          <w:rFonts w:hint="eastAsia" w:ascii="仿宋_GB2312" w:hAnsi="仿宋_GB2312" w:eastAsia="仿宋_GB2312" w:cs="仿宋_GB2312"/>
          <w:color w:val="auto"/>
          <w:sz w:val="24"/>
          <w:szCs w:val="24"/>
          <w:highlight w:val="none"/>
          <w:lang w:val="en-US" w:eastAsia="zh-CN"/>
        </w:rPr>
        <w:t>6</w:t>
      </w:r>
    </w:p>
    <w:p w14:paraId="204459B8">
      <w:pPr>
        <w:spacing w:line="360" w:lineRule="auto"/>
        <w:ind w:firstLine="482" w:firstLineChars="200"/>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rPr>
        <w:t>5</w:t>
      </w:r>
      <w:r>
        <w:rPr>
          <w:rFonts w:hint="eastAsia" w:ascii="仿宋_GB2312" w:hAnsi="仿宋_GB2312" w:eastAsia="仿宋_GB2312" w:cs="仿宋_GB2312"/>
          <w:b/>
          <w:bCs/>
          <w:color w:val="auto"/>
          <w:sz w:val="24"/>
          <w:szCs w:val="24"/>
          <w:highlight w:val="none"/>
          <w:lang w:val="en-US" w:eastAsia="zh-CN"/>
        </w:rPr>
        <w:t>.</w:t>
      </w:r>
      <w:r>
        <w:rPr>
          <w:rFonts w:hint="eastAsia" w:ascii="仿宋_GB2312" w:hAnsi="仿宋_GB2312" w:eastAsia="仿宋_GB2312" w:cs="仿宋_GB2312"/>
          <w:b/>
          <w:bCs/>
          <w:color w:val="auto"/>
          <w:sz w:val="24"/>
          <w:szCs w:val="24"/>
          <w:highlight w:val="none"/>
          <w:lang w:eastAsia="zh-CN"/>
        </w:rPr>
        <w:t>中选规则</w:t>
      </w:r>
    </w:p>
    <w:p w14:paraId="00DB2272">
      <w:pPr>
        <w:keepNext w:val="0"/>
        <w:keepLines w:val="0"/>
        <w:widowControl/>
        <w:suppressLineNumbers w:val="0"/>
        <w:spacing w:before="0" w:beforeAutospacing="0" w:after="0" w:afterAutospacing="0" w:line="360" w:lineRule="auto"/>
        <w:ind w:left="0" w:right="0" w:firstLine="480" w:firstLineChars="2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5.1</w:t>
      </w:r>
      <w:r>
        <w:rPr>
          <w:rFonts w:hint="eastAsia" w:ascii="仿宋_GB2312" w:hAnsi="仿宋_GB2312" w:eastAsia="仿宋_GB2312" w:cs="仿宋_GB2312"/>
          <w:color w:val="auto"/>
          <w:sz w:val="24"/>
          <w:szCs w:val="24"/>
          <w:highlight w:val="none"/>
        </w:rPr>
        <w:t>评审小组根据综合得分情况按得分高低进行排序</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并推荐</w:t>
      </w:r>
      <w:r>
        <w:rPr>
          <w:rFonts w:hint="eastAsia" w:ascii="仿宋_GB2312" w:hAnsi="仿宋_GB2312" w:eastAsia="仿宋_GB2312" w:cs="仿宋_GB2312"/>
          <w:color w:val="auto"/>
          <w:sz w:val="24"/>
          <w:szCs w:val="24"/>
          <w:highlight w:val="none"/>
          <w:lang w:eastAsia="zh-CN"/>
        </w:rPr>
        <w:t>综合</w:t>
      </w:r>
      <w:r>
        <w:rPr>
          <w:rFonts w:hint="eastAsia" w:ascii="仿宋_GB2312" w:hAnsi="仿宋_GB2312" w:eastAsia="仿宋_GB2312" w:cs="仿宋_GB2312"/>
          <w:color w:val="auto"/>
          <w:sz w:val="24"/>
          <w:szCs w:val="24"/>
          <w:highlight w:val="none"/>
        </w:rPr>
        <w:t>得分第一</w:t>
      </w:r>
      <w:r>
        <w:rPr>
          <w:rFonts w:hint="eastAsia" w:ascii="仿宋_GB2312" w:hAnsi="仿宋_GB2312" w:eastAsia="仿宋_GB2312" w:cs="仿宋_GB2312"/>
          <w:color w:val="auto"/>
          <w:sz w:val="24"/>
          <w:szCs w:val="24"/>
          <w:highlight w:val="none"/>
          <w:lang w:eastAsia="zh-CN"/>
        </w:rPr>
        <w:t>的作为中选</w:t>
      </w:r>
      <w:r>
        <w:rPr>
          <w:rFonts w:hint="eastAsia" w:ascii="仿宋_GB2312" w:hAnsi="仿宋_GB2312" w:eastAsia="仿宋_GB2312" w:cs="仿宋_GB2312"/>
          <w:color w:val="auto"/>
          <w:sz w:val="24"/>
          <w:szCs w:val="24"/>
          <w:highlight w:val="none"/>
        </w:rPr>
        <w:t>候选人，</w:t>
      </w:r>
      <w:r>
        <w:rPr>
          <w:rFonts w:hint="eastAsia" w:ascii="仿宋_GB2312" w:hAnsi="仿宋_GB2312" w:eastAsia="仿宋_GB2312" w:cs="仿宋_GB2312"/>
          <w:color w:val="auto"/>
          <w:sz w:val="24"/>
          <w:szCs w:val="24"/>
          <w:highlight w:val="none"/>
          <w:lang w:eastAsia="zh-CN"/>
        </w:rPr>
        <w:t>中选候选人经采购人同意，为本项目中选人，中选人应按照</w:t>
      </w:r>
      <w:r>
        <w:rPr>
          <w:rFonts w:hint="eastAsia" w:ascii="仿宋_GB2312" w:hAnsi="Calibri" w:eastAsia="仿宋_GB2312" w:cs="仿宋_GB2312"/>
          <w:kern w:val="2"/>
          <w:sz w:val="24"/>
          <w:szCs w:val="24"/>
          <w:lang w:val="en-US" w:eastAsia="zh-CN" w:bidi="ar"/>
          <w:woUserID w:val="1"/>
        </w:rPr>
        <w:t>竞争性谈判</w:t>
      </w:r>
      <w:r>
        <w:rPr>
          <w:rFonts w:hint="eastAsia" w:ascii="仿宋_GB2312" w:hAnsi="仿宋_GB2312" w:eastAsia="仿宋_GB2312" w:cs="仿宋_GB2312"/>
          <w:color w:val="auto"/>
          <w:sz w:val="24"/>
          <w:szCs w:val="24"/>
          <w:highlight w:val="none"/>
          <w:lang w:eastAsia="zh-CN"/>
        </w:rPr>
        <w:t>文件实质性内容</w:t>
      </w:r>
      <w:r>
        <w:rPr>
          <w:rFonts w:hint="eastAsia" w:ascii="仿宋_GB2312" w:hAnsi="仿宋_GB2312" w:eastAsia="仿宋_GB2312" w:cs="仿宋_GB2312"/>
          <w:color w:val="auto"/>
          <w:sz w:val="24"/>
          <w:szCs w:val="24"/>
          <w:highlight w:val="none"/>
        </w:rPr>
        <w:t>与</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签订</w:t>
      </w:r>
      <w:r>
        <w:rPr>
          <w:rFonts w:hint="eastAsia" w:ascii="仿宋_GB2312" w:hAnsi="仿宋_GB2312" w:eastAsia="仿宋_GB2312" w:cs="仿宋_GB2312"/>
          <w:color w:val="auto"/>
          <w:sz w:val="24"/>
          <w:szCs w:val="24"/>
          <w:highlight w:val="none"/>
          <w:lang w:eastAsia="zh-CN"/>
        </w:rPr>
        <w:t>本项目</w:t>
      </w:r>
      <w:r>
        <w:rPr>
          <w:rFonts w:hint="eastAsia" w:ascii="仿宋_GB2312" w:hAnsi="仿宋_GB2312" w:eastAsia="仿宋_GB2312" w:cs="仿宋_GB2312"/>
          <w:color w:val="auto"/>
          <w:sz w:val="24"/>
          <w:szCs w:val="24"/>
          <w:highlight w:val="none"/>
        </w:rPr>
        <w:t>书面合同。</w:t>
      </w:r>
    </w:p>
    <w:p w14:paraId="7B3120F0">
      <w:pPr>
        <w:spacing w:line="360" w:lineRule="auto"/>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5.2</w:t>
      </w:r>
      <w:r>
        <w:rPr>
          <w:rFonts w:hint="eastAsia" w:ascii="仿宋_GB2312" w:hAnsi="仿宋_GB2312" w:eastAsia="仿宋_GB2312" w:cs="仿宋_GB2312"/>
          <w:color w:val="auto"/>
          <w:sz w:val="24"/>
          <w:szCs w:val="24"/>
          <w:highlight w:val="none"/>
        </w:rPr>
        <w:t>若</w:t>
      </w:r>
      <w:r>
        <w:rPr>
          <w:rFonts w:hint="eastAsia" w:ascii="仿宋_GB2312" w:hAnsi="仿宋_GB2312" w:eastAsia="仿宋_GB2312" w:cs="仿宋_GB2312"/>
          <w:color w:val="auto"/>
          <w:sz w:val="24"/>
          <w:szCs w:val="24"/>
          <w:highlight w:val="none"/>
          <w:lang w:eastAsia="zh-CN"/>
        </w:rPr>
        <w:t>中选人未在采购人发出中选通知书之日起的</w:t>
      </w:r>
      <w:r>
        <w:rPr>
          <w:rFonts w:hint="eastAsia" w:ascii="仿宋_GB2312" w:hAnsi="仿宋_GB2312" w:eastAsia="仿宋_GB2312" w:cs="仿宋_GB2312"/>
          <w:color w:val="auto"/>
          <w:sz w:val="24"/>
          <w:szCs w:val="24"/>
          <w:highlight w:val="none"/>
          <w:lang w:val="en-US" w:eastAsia="zh-CN"/>
        </w:rPr>
        <w:t>30日内按照</w:t>
      </w:r>
      <w:r>
        <w:rPr>
          <w:rFonts w:hint="eastAsia" w:ascii="仿宋_GB2312" w:hAnsi="仿宋_GB2312" w:eastAsia="仿宋_GB2312" w:cs="仿宋_GB2312"/>
          <w:color w:val="auto"/>
          <w:sz w:val="24"/>
          <w:szCs w:val="24"/>
          <w:highlight w:val="none"/>
          <w:lang w:val="en-US" w:eastAsia="zh"/>
        </w:rPr>
        <w:t>报价</w:t>
      </w:r>
      <w:r>
        <w:rPr>
          <w:rFonts w:hint="eastAsia" w:ascii="仿宋_GB2312" w:hAnsi="仿宋_GB2312" w:eastAsia="仿宋_GB2312" w:cs="仿宋_GB2312"/>
          <w:color w:val="auto"/>
          <w:sz w:val="24"/>
          <w:szCs w:val="24"/>
          <w:highlight w:val="none"/>
          <w:lang w:val="en-US" w:eastAsia="zh-CN"/>
        </w:rPr>
        <w:t>文件实质性内容完成合同签订</w:t>
      </w:r>
      <w:r>
        <w:rPr>
          <w:rFonts w:hint="eastAsia" w:ascii="仿宋_GB2312" w:hAnsi="仿宋_GB2312" w:eastAsia="仿宋_GB2312" w:cs="仿宋_GB2312"/>
          <w:color w:val="auto"/>
          <w:sz w:val="24"/>
          <w:szCs w:val="24"/>
          <w:highlight w:val="none"/>
          <w:lang w:val="en-US" w:eastAsia="zh"/>
        </w:rPr>
        <w:t>或自愿放弃中选资格或因</w:t>
      </w:r>
      <w:r>
        <w:rPr>
          <w:rFonts w:hint="eastAsia" w:ascii="仿宋_GB2312" w:hAnsi="仿宋_GB2312" w:eastAsia="仿宋_GB2312" w:cs="仿宋_GB2312"/>
          <w:color w:val="auto"/>
          <w:sz w:val="24"/>
          <w:szCs w:val="24"/>
          <w:highlight w:val="none"/>
          <w:lang w:val="en-US" w:eastAsia="zh-CN"/>
        </w:rPr>
        <w:t>未按时提交履约保证金被采购人通知解除合同的，采购人有权取消其中选资格</w:t>
      </w:r>
      <w:r>
        <w:rPr>
          <w:rFonts w:hint="default" w:ascii="仿宋_GB2312" w:hAnsi="仿宋_GB2312" w:eastAsia="仿宋_GB2312" w:cs="仿宋_GB2312"/>
          <w:sz w:val="24"/>
          <w:szCs w:val="24"/>
          <w:highlight w:val="none"/>
          <w:lang w:val="en-US" w:eastAsia="zh-CN"/>
        </w:rPr>
        <w:t>，已收取的</w:t>
      </w:r>
      <w:r>
        <w:rPr>
          <w:rFonts w:hint="eastAsia" w:ascii="仿宋_GB2312" w:hAnsi="仿宋_GB2312" w:eastAsia="仿宋_GB2312" w:cs="仿宋_GB2312"/>
          <w:sz w:val="24"/>
          <w:szCs w:val="24"/>
          <w:highlight w:val="none"/>
          <w:lang w:val="en-US" w:eastAsia="zh"/>
        </w:rPr>
        <w:t>报价</w:t>
      </w:r>
      <w:r>
        <w:rPr>
          <w:rFonts w:hint="default" w:ascii="仿宋_GB2312" w:hAnsi="仿宋_GB2312" w:eastAsia="仿宋_GB2312" w:cs="仿宋_GB2312"/>
          <w:sz w:val="24"/>
          <w:szCs w:val="24"/>
          <w:highlight w:val="none"/>
          <w:lang w:val="en-US" w:eastAsia="zh-CN"/>
        </w:rPr>
        <w:t>保证金不予退还</w:t>
      </w:r>
      <w:r>
        <w:rPr>
          <w:rFonts w:hint="eastAsia" w:ascii="仿宋_GB2312" w:hAnsi="仿宋_GB2312" w:eastAsia="仿宋_GB2312" w:cs="仿宋_GB2312"/>
          <w:color w:val="auto"/>
          <w:sz w:val="24"/>
          <w:szCs w:val="24"/>
          <w:highlight w:val="none"/>
          <w:lang w:val="en-US" w:eastAsia="zh-CN"/>
        </w:rPr>
        <w:t>。</w:t>
      </w:r>
    </w:p>
    <w:p w14:paraId="5A29D6C3">
      <w:pPr>
        <w:pStyle w:val="11"/>
        <w:numPr>
          <w:ilvl w:val="0"/>
          <w:numId w:val="0"/>
        </w:numPr>
        <w:spacing w:line="360" w:lineRule="auto"/>
        <w:ind w:firstLine="52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5.3报价文件有效期内，采购人按照</w:t>
      </w:r>
      <w:r>
        <w:rPr>
          <w:rFonts w:hint="eastAsia" w:ascii="仿宋_GB2312" w:hAnsi="仿宋_GB2312" w:eastAsia="仿宋_GB2312" w:cs="仿宋_GB2312"/>
          <w:color w:val="auto"/>
          <w:sz w:val="24"/>
          <w:szCs w:val="24"/>
          <w:highlight w:val="none"/>
          <w:lang w:val="en-US" w:eastAsia="zh"/>
          <w:woUserID w:val="1"/>
        </w:rPr>
        <w:t>竞争性谈判</w:t>
      </w:r>
      <w:r>
        <w:rPr>
          <w:rFonts w:hint="eastAsia" w:ascii="仿宋_GB2312" w:hAnsi="仿宋_GB2312" w:eastAsia="仿宋_GB2312" w:cs="仿宋_GB2312"/>
          <w:color w:val="auto"/>
          <w:sz w:val="24"/>
          <w:szCs w:val="24"/>
          <w:highlight w:val="none"/>
          <w:lang w:val="en-US" w:eastAsia="zh-CN"/>
        </w:rPr>
        <w:t>文件要求取消中选人资格</w:t>
      </w:r>
      <w:r>
        <w:rPr>
          <w:rFonts w:hint="eastAsia" w:ascii="仿宋_GB2312" w:hAnsi="仿宋_GB2312" w:eastAsia="仿宋_GB2312" w:cs="仿宋_GB2312"/>
          <w:color w:val="auto"/>
          <w:sz w:val="24"/>
          <w:szCs w:val="24"/>
          <w:highlight w:val="none"/>
          <w:lang w:val="en-US" w:eastAsia="zh"/>
        </w:rPr>
        <w:t>或</w:t>
      </w:r>
      <w:r>
        <w:rPr>
          <w:rFonts w:hint="eastAsia" w:ascii="仿宋_GB2312" w:hAnsi="仿宋_GB2312" w:eastAsia="仿宋_GB2312" w:cs="仿宋_GB2312"/>
          <w:color w:val="auto"/>
          <w:sz w:val="24"/>
          <w:szCs w:val="24"/>
          <w:highlight w:val="none"/>
          <w:lang w:val="en-US" w:eastAsia="zh-CN"/>
        </w:rPr>
        <w:t>中选人</w:t>
      </w:r>
      <w:r>
        <w:rPr>
          <w:rFonts w:hint="eastAsia" w:ascii="仿宋_GB2312" w:hAnsi="仿宋_GB2312" w:eastAsia="仿宋_GB2312" w:cs="仿宋_GB2312"/>
          <w:color w:val="auto"/>
          <w:sz w:val="24"/>
          <w:szCs w:val="24"/>
          <w:highlight w:val="none"/>
          <w:lang w:val="en-US" w:eastAsia="zh"/>
        </w:rPr>
        <w:t>因</w:t>
      </w:r>
      <w:r>
        <w:rPr>
          <w:rFonts w:hint="eastAsia" w:ascii="仿宋_GB2312" w:hAnsi="仿宋_GB2312" w:eastAsia="仿宋_GB2312" w:cs="仿宋_GB2312"/>
          <w:color w:val="auto"/>
          <w:sz w:val="24"/>
          <w:szCs w:val="24"/>
          <w:highlight w:val="none"/>
          <w:lang w:val="en-US" w:eastAsia="zh-CN"/>
        </w:rPr>
        <w:t>未按时提交履约保证金被采购人通知解除合同的，</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有权根据自身情况按照排序与下一顺位</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签订书面合同或重新组织采购。</w:t>
      </w:r>
    </w:p>
    <w:p w14:paraId="0BFDDB55">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11A2547F">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B734686">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21E5D0AE">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216DE5C">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406C1618">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151D42F8">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F6E5FA2">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B0B8D96">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1509AC43">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324BACFB">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2F0715BA">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79685A39">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4A3C3A2F">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628FE96C">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2059013C">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3E0399D">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73BA96EF">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2FCD04AD">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1CA8EA2B">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084A0FB8">
      <w:pPr>
        <w:pStyle w:val="11"/>
        <w:numPr>
          <w:ilvl w:val="0"/>
          <w:numId w:val="0"/>
        </w:numPr>
        <w:spacing w:line="360" w:lineRule="auto"/>
        <w:rPr>
          <w:rFonts w:hint="eastAsia" w:ascii="仿宋_GB2312" w:hAnsi="仿宋_GB2312" w:eastAsia="仿宋_GB2312" w:cs="仿宋_GB2312"/>
          <w:color w:val="auto"/>
          <w:sz w:val="24"/>
          <w:szCs w:val="24"/>
          <w:highlight w:val="none"/>
        </w:rPr>
      </w:pPr>
    </w:p>
    <w:p w14:paraId="4C911BF2">
      <w:pPr>
        <w:pStyle w:val="11"/>
        <w:numPr>
          <w:ilvl w:val="0"/>
          <w:numId w:val="2"/>
        </w:numPr>
        <w:spacing w:line="360" w:lineRule="auto"/>
        <w:ind w:left="0" w:leftChars="0" w:firstLine="643" w:firstLineChars="200"/>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bCs/>
          <w:spacing w:val="0"/>
          <w:kern w:val="2"/>
          <w:sz w:val="32"/>
          <w:szCs w:val="32"/>
          <w:lang w:val="en-US" w:eastAsia="zh-CN" w:bidi="ar-SA"/>
        </w:rPr>
        <w:t>报价文件编制格式</w:t>
      </w:r>
    </w:p>
    <w:p w14:paraId="7951C3B9">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8B1F9D6">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9AFBCF2">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61BBCF5">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97612F4">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C00E51D">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F3CF075">
      <w:pPr>
        <w:pStyle w:val="11"/>
        <w:widowControl w:val="0"/>
        <w:numPr>
          <w:ilvl w:val="0"/>
          <w:numId w:val="0"/>
        </w:numPr>
        <w:spacing w:line="360" w:lineRule="auto"/>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燃油库房#1、#2储油罐感温光纤报警系统改造项目</w:t>
      </w:r>
    </w:p>
    <w:p w14:paraId="3974501B">
      <w:pPr>
        <w:pStyle w:val="11"/>
        <w:widowControl w:val="0"/>
        <w:numPr>
          <w:ilvl w:val="0"/>
          <w:numId w:val="0"/>
        </w:numPr>
        <w:spacing w:line="360" w:lineRule="auto"/>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val="0"/>
          <w:bCs w:val="0"/>
          <w:sz w:val="44"/>
          <w:szCs w:val="44"/>
          <w:lang w:eastAsia="zh-CN"/>
        </w:rPr>
        <w:t>报价文件</w:t>
      </w:r>
    </w:p>
    <w:p w14:paraId="20F79748">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6277BC7">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ED731F9">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AFAEC20">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245F76C">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53DE938">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9E296EB">
      <w:pPr>
        <w:pStyle w:val="2"/>
        <w:rPr>
          <w:rFonts w:hint="eastAsia" w:ascii="方正小标宋简体" w:hAnsi="方正小标宋简体" w:eastAsia="方正小标宋简体" w:cs="方正小标宋简体"/>
          <w:b w:val="0"/>
          <w:bCs w:val="0"/>
          <w:color w:val="auto"/>
          <w:sz w:val="32"/>
          <w:szCs w:val="32"/>
          <w:highlight w:val="none"/>
          <w:lang w:eastAsia="zh-CN"/>
        </w:rPr>
      </w:pPr>
      <w:r>
        <w:rPr>
          <w:rFonts w:hint="eastAsia" w:ascii="方正小标宋简体" w:hAnsi="方正小标宋简体" w:eastAsia="方正小标宋简体" w:cs="方正小标宋简体"/>
          <w:b w:val="0"/>
          <w:bCs w:val="0"/>
          <w:color w:val="auto"/>
          <w:sz w:val="32"/>
          <w:szCs w:val="32"/>
          <w:highlight w:val="none"/>
          <w:lang w:eastAsia="zh-CN"/>
        </w:rPr>
        <w:t>单位名称：</w:t>
      </w:r>
    </w:p>
    <w:p w14:paraId="61C27838">
      <w:pP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授权代表：</w:t>
      </w:r>
    </w:p>
    <w:p w14:paraId="66F7D309">
      <w:pPr>
        <w:pStyle w:val="2"/>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联系方式：</w:t>
      </w:r>
    </w:p>
    <w:p w14:paraId="2C0A53FF">
      <w:pPr>
        <w:rPr>
          <w:rFonts w:hint="eastAsia"/>
          <w:lang w:eastAsia="zh-CN"/>
        </w:rPr>
      </w:pPr>
    </w:p>
    <w:p w14:paraId="2844419C">
      <w:pPr>
        <w:pStyle w:val="2"/>
        <w:rPr>
          <w:rFonts w:hint="eastAsia"/>
          <w:lang w:eastAsia="zh-CN"/>
        </w:rPr>
      </w:pPr>
    </w:p>
    <w:p w14:paraId="76E52B1F">
      <w:pPr>
        <w:pStyle w:val="2"/>
        <w:rPr>
          <w:rFonts w:hint="eastAsia"/>
          <w:lang w:eastAsia="zh-CN"/>
        </w:rPr>
      </w:pPr>
    </w:p>
    <w:p w14:paraId="43877B3E">
      <w:pPr>
        <w:rPr>
          <w:rFonts w:hint="eastAsia"/>
          <w:lang w:eastAsia="zh-CN"/>
        </w:rPr>
      </w:pPr>
    </w:p>
    <w:p w14:paraId="1E4CF910">
      <w:pPr>
        <w:pStyle w:val="2"/>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日期：</w:t>
      </w:r>
      <w:r>
        <w:rPr>
          <w:rFonts w:hint="eastAsia" w:ascii="仿宋_GB2312" w:hAnsi="仿宋_GB2312" w:eastAsia="仿宋_GB2312" w:cs="仿宋_GB2312"/>
          <w:b/>
          <w:bCs/>
          <w:sz w:val="30"/>
          <w:szCs w:val="30"/>
          <w:lang w:val="en-US" w:eastAsia="zh-CN"/>
        </w:rPr>
        <w:t xml:space="preserve">   年    月  日</w:t>
      </w:r>
    </w:p>
    <w:p w14:paraId="49A05B0B">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D49CC63">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p>
    <w:p w14:paraId="4D44B70D">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一、目录</w:t>
      </w:r>
    </w:p>
    <w:p w14:paraId="64EEB16F">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1.营业执照复印件</w:t>
      </w:r>
    </w:p>
    <w:p w14:paraId="3093DB51">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2.业绩证明文件</w:t>
      </w:r>
    </w:p>
    <w:p w14:paraId="2AA7D215">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3.国家企业信用信息公示系统（www.creditchina.gov.cn）企业信用报告或截图</w:t>
      </w:r>
    </w:p>
    <w:p w14:paraId="5E3DEEB7">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4.项目报价表及报价明细表（格式详见附件1）</w:t>
      </w:r>
    </w:p>
    <w:p w14:paraId="1DA569A1">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5.法定代表人身份证明（格式详见附件2）</w:t>
      </w:r>
    </w:p>
    <w:p w14:paraId="5CF45EFE">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6.授权委托书（格式详见附件3）</w:t>
      </w:r>
    </w:p>
    <w:p w14:paraId="576BCB7F">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7.承诺书（格式见附件4）</w:t>
      </w:r>
    </w:p>
    <w:p w14:paraId="7C8A2784">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8.资格声明函（格式见附件5）</w:t>
      </w:r>
    </w:p>
    <w:p w14:paraId="29E9EA19">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9.改造方案</w:t>
      </w:r>
    </w:p>
    <w:p w14:paraId="12A7CF5F">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10.质量保证措施及售后承诺</w:t>
      </w:r>
    </w:p>
    <w:p w14:paraId="4542A462">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11.供货范围表（格式件附件6）</w:t>
      </w:r>
    </w:p>
    <w:p w14:paraId="25F00BFD">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12.（报价人提交的其他资料）</w:t>
      </w:r>
    </w:p>
    <w:p w14:paraId="62F0E618">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244EEDFE">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85C225F">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D029DC7">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2C7B7AE">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E2759DD">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5CFBE81">
      <w:pPr>
        <w:pStyle w:val="11"/>
        <w:widowControl w:val="0"/>
        <w:numPr>
          <w:ilvl w:val="0"/>
          <w:numId w:val="0"/>
        </w:numPr>
        <w:spacing w:line="360" w:lineRule="auto"/>
        <w:jc w:val="both"/>
        <w:rPr>
          <w:rFonts w:hint="default" w:ascii="方正小标宋简体" w:hAnsi="方正小标宋简体" w:eastAsia="方正小标宋简体" w:cs="方正小标宋简体"/>
          <w:b/>
          <w:bCs/>
          <w:spacing w:val="0"/>
          <w:kern w:val="2"/>
          <w:sz w:val="32"/>
          <w:szCs w:val="32"/>
          <w:lang w:val="en-US" w:eastAsia="zh-CN" w:bidi="ar-SA"/>
        </w:rPr>
      </w:pPr>
    </w:p>
    <w:p w14:paraId="73DA7359">
      <w:pPr>
        <w:rPr>
          <w:rFonts w:hint="eastAsia" w:ascii="仿宋_GB2312" w:hAnsi="仿宋_GB2312" w:eastAsia="仿宋_GB2312" w:cs="仿宋_GB2312"/>
          <w:b/>
          <w:bCs/>
          <w:color w:val="auto"/>
          <w:sz w:val="24"/>
          <w:szCs w:val="24"/>
          <w:highlight w:val="none"/>
          <w:lang w:eastAsia="zh-CN"/>
        </w:rPr>
      </w:pPr>
    </w:p>
    <w:p w14:paraId="3AA2CB4A">
      <w:pPr>
        <w:rPr>
          <w:rFonts w:hint="eastAsia" w:ascii="仿宋_GB2312" w:hAnsi="仿宋_GB2312" w:eastAsia="仿宋_GB2312" w:cs="仿宋_GB2312"/>
          <w:b/>
          <w:bCs/>
          <w:color w:val="auto"/>
          <w:sz w:val="24"/>
          <w:szCs w:val="24"/>
          <w:highlight w:val="none"/>
          <w:lang w:eastAsia="zh-CN"/>
        </w:rPr>
      </w:pPr>
    </w:p>
    <w:p w14:paraId="1C29FA02">
      <w:pPr>
        <w:rPr>
          <w:rFonts w:hint="eastAsia" w:ascii="仿宋_GB2312" w:hAnsi="仿宋_GB2312" w:eastAsia="仿宋_GB2312" w:cs="仿宋_GB2312"/>
          <w:b/>
          <w:bCs/>
          <w:color w:val="auto"/>
          <w:sz w:val="24"/>
          <w:szCs w:val="24"/>
          <w:highlight w:val="none"/>
          <w:lang w:eastAsia="zh-CN"/>
        </w:rPr>
      </w:pPr>
    </w:p>
    <w:p w14:paraId="6B9E9014">
      <w:pPr>
        <w:rPr>
          <w:rFonts w:hint="eastAsia" w:ascii="仿宋_GB2312" w:hAnsi="仿宋_GB2312" w:eastAsia="仿宋_GB2312" w:cs="仿宋_GB2312"/>
          <w:b/>
          <w:bCs/>
          <w:color w:val="auto"/>
          <w:sz w:val="24"/>
          <w:szCs w:val="24"/>
          <w:highlight w:val="none"/>
          <w:lang w:eastAsia="zh-CN"/>
        </w:rPr>
      </w:pPr>
    </w:p>
    <w:p w14:paraId="006130F8">
      <w:pPr>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br w:type="page"/>
      </w:r>
    </w:p>
    <w:p w14:paraId="270EFDB3">
      <w:pP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1：</w:t>
      </w:r>
    </w:p>
    <w:p w14:paraId="2D02E02D">
      <w:pPr>
        <w:pStyle w:val="11"/>
        <w:jc w:val="center"/>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项目报价表</w:t>
      </w:r>
    </w:p>
    <w:tbl>
      <w:tblPr>
        <w:tblStyle w:val="7"/>
        <w:tblW w:w="97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257"/>
        <w:gridCol w:w="2154"/>
        <w:gridCol w:w="1326"/>
        <w:gridCol w:w="3001"/>
      </w:tblGrid>
      <w:tr w14:paraId="26F46B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296" w:hRule="atLeast"/>
          <w:jc w:val="center"/>
        </w:trPr>
        <w:tc>
          <w:tcPr>
            <w:tcW w:w="3257" w:type="dxa"/>
            <w:noWrap w:val="0"/>
            <w:vAlign w:val="center"/>
          </w:tcPr>
          <w:p w14:paraId="0B7F62CC">
            <w:pPr>
              <w:keepNext w:val="0"/>
              <w:keepLines w:val="0"/>
              <w:suppressLineNumbers w:val="0"/>
              <w:spacing w:before="0" w:beforeAutospacing="0" w:after="0" w:afterAutospacing="0" w:line="48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2154" w:type="dxa"/>
            <w:noWrap w:val="0"/>
            <w:vAlign w:val="center"/>
          </w:tcPr>
          <w:p w14:paraId="24A8A26D">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p w14:paraId="4750DF81">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p>
          <w:p w14:paraId="2D9A61A3">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综合含税总报价（元）</w:t>
            </w:r>
          </w:p>
          <w:p w14:paraId="72218FA2">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tc>
        <w:tc>
          <w:tcPr>
            <w:tcW w:w="1326" w:type="dxa"/>
            <w:noWrap w:val="0"/>
            <w:vAlign w:val="center"/>
          </w:tcPr>
          <w:p w14:paraId="77502A56">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szCs w:val="24"/>
                <w:lang w:eastAsia="zh-CN"/>
              </w:rPr>
              <w:t>税率</w:t>
            </w:r>
          </w:p>
        </w:tc>
        <w:tc>
          <w:tcPr>
            <w:tcW w:w="3001" w:type="dxa"/>
            <w:noWrap w:val="0"/>
            <w:vAlign w:val="center"/>
          </w:tcPr>
          <w:p w14:paraId="5F89353D">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14:paraId="4B98C4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658ED441">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rPr>
              <w:t>燃油库房#1、#2储油罐感温光纤报警系统改造</w:t>
            </w:r>
            <w:r>
              <w:rPr>
                <w:rFonts w:hint="eastAsia" w:ascii="仿宋_GB2312" w:hAnsi="仿宋_GB2312" w:eastAsia="仿宋_GB2312" w:cs="仿宋_GB2312"/>
                <w:bCs/>
                <w:color w:val="auto"/>
                <w:sz w:val="24"/>
                <w:highlight w:val="none"/>
                <w:lang w:val="en-US" w:eastAsia="zh-CN"/>
              </w:rPr>
              <w:t>项目</w:t>
            </w:r>
          </w:p>
        </w:tc>
        <w:tc>
          <w:tcPr>
            <w:tcW w:w="2154" w:type="dxa"/>
            <w:noWrap w:val="0"/>
            <w:vAlign w:val="center"/>
          </w:tcPr>
          <w:p w14:paraId="356B1A72">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1326" w:type="dxa"/>
            <w:noWrap w:val="0"/>
            <w:vAlign w:val="center"/>
          </w:tcPr>
          <w:p w14:paraId="46A9EF94">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3001" w:type="dxa"/>
            <w:noWrap w:val="0"/>
            <w:vAlign w:val="center"/>
          </w:tcPr>
          <w:p w14:paraId="13CDC890">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Cs/>
                <w:color w:val="auto"/>
                <w:sz w:val="24"/>
                <w:highlight w:val="none"/>
                <w:lang w:val="en-US" w:eastAsia="zh-CN"/>
              </w:rPr>
              <w:t>综合含税总报价为</w:t>
            </w:r>
            <w:r>
              <w:rPr>
                <w:rFonts w:hint="eastAsia" w:ascii="仿宋_GB2312" w:hAnsi="仿宋_GB2312" w:eastAsia="仿宋_GB2312" w:cs="仿宋_GB2312"/>
                <w:bCs/>
                <w:color w:val="auto"/>
                <w:sz w:val="24"/>
                <w:highlight w:val="none"/>
              </w:rPr>
              <w:t>燃油库房#1、#2储油罐感温光纤报警系统改造</w:t>
            </w:r>
            <w:r>
              <w:rPr>
                <w:rFonts w:hint="eastAsia" w:ascii="仿宋_GB2312" w:hAnsi="仿宋_GB2312" w:eastAsia="仿宋_GB2312" w:cs="仿宋_GB2312"/>
                <w:bCs/>
                <w:color w:val="auto"/>
                <w:sz w:val="24"/>
                <w:highlight w:val="none"/>
                <w:lang w:val="en-US" w:eastAsia="zh-CN"/>
              </w:rPr>
              <w:t>项目</w:t>
            </w:r>
            <w:r>
              <w:rPr>
                <w:rFonts w:hint="eastAsia" w:ascii="仿宋_GB2312" w:hAnsi="仿宋_GB2312" w:eastAsia="仿宋_GB2312" w:cs="仿宋_GB2312"/>
                <w:bCs/>
                <w:color w:val="auto"/>
                <w:sz w:val="24"/>
                <w:highlight w:val="none"/>
                <w:lang w:eastAsia="zh-CN"/>
              </w:rPr>
              <w:t>全部</w:t>
            </w:r>
            <w:r>
              <w:rPr>
                <w:rFonts w:hint="eastAsia" w:ascii="仿宋_GB2312" w:hAnsi="仿宋_GB2312" w:eastAsia="仿宋_GB2312" w:cs="仿宋_GB2312"/>
                <w:bCs/>
                <w:color w:val="auto"/>
                <w:sz w:val="24"/>
                <w:highlight w:val="none"/>
                <w:lang w:val="en-US" w:eastAsia="zh-CN"/>
              </w:rPr>
              <w:t>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14:paraId="0E2018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770B91E7">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sz w:val="24"/>
                <w:lang w:eastAsia="zh-CN"/>
              </w:rPr>
              <w:t>综合含税总价金额</w:t>
            </w:r>
            <w:r>
              <w:rPr>
                <w:rFonts w:hint="eastAsia" w:ascii="仿宋_GB2312" w:hAnsi="仿宋_GB2312" w:eastAsia="仿宋_GB2312" w:cs="仿宋_GB2312"/>
                <w:b w:val="0"/>
                <w:bCs w:val="0"/>
                <w:sz w:val="24"/>
                <w:u w:val="none"/>
                <w:lang w:eastAsia="zh-CN"/>
              </w:rPr>
              <w:t>大写：</w:t>
            </w:r>
          </w:p>
        </w:tc>
        <w:tc>
          <w:tcPr>
            <w:tcW w:w="6481" w:type="dxa"/>
            <w:gridSpan w:val="3"/>
            <w:noWrap w:val="0"/>
            <w:vAlign w:val="center"/>
          </w:tcPr>
          <w:p w14:paraId="1DB5DF12">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r>
      <w:tr w14:paraId="21AFB3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1205FA4B">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sz w:val="24"/>
                <w:lang w:eastAsia="zh-CN"/>
              </w:rPr>
            </w:pPr>
            <w:r>
              <w:rPr>
                <w:rFonts w:hint="eastAsia" w:ascii="仿宋_GB2312" w:hAnsi="仿宋_GB2312" w:eastAsia="仿宋_GB2312" w:cs="仿宋_GB2312"/>
                <w:b w:val="0"/>
                <w:bCs/>
                <w:sz w:val="24"/>
                <w:lang w:eastAsia="zh-CN"/>
              </w:rPr>
              <w:t>其中：安全文明施工费</w:t>
            </w:r>
          </w:p>
        </w:tc>
        <w:tc>
          <w:tcPr>
            <w:tcW w:w="3480" w:type="dxa"/>
            <w:gridSpan w:val="2"/>
            <w:noWrap w:val="0"/>
            <w:vAlign w:val="center"/>
          </w:tcPr>
          <w:p w14:paraId="78F3BAA4">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c>
          <w:tcPr>
            <w:tcW w:w="3001" w:type="dxa"/>
            <w:noWrap w:val="0"/>
            <w:vAlign w:val="center"/>
          </w:tcPr>
          <w:p w14:paraId="1F0A0769">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r>
              <w:rPr>
                <w:rFonts w:hint="eastAsia" w:ascii="仿宋_GB2312" w:hAnsi="仿宋_GB2312" w:eastAsia="仿宋_GB2312" w:cs="仿宋_GB2312"/>
                <w:bCs/>
                <w:color w:val="FF0000"/>
                <w:sz w:val="24"/>
                <w:highlight w:val="none"/>
              </w:rPr>
              <w:t>此项为必填项，该费用为固定价，金额</w:t>
            </w:r>
            <w:r>
              <w:rPr>
                <w:rFonts w:hint="eastAsia" w:ascii="仿宋_GB2312" w:hAnsi="仿宋_GB2312" w:eastAsia="仿宋_GB2312" w:cs="仿宋_GB2312"/>
                <w:bCs/>
                <w:color w:val="FF0000"/>
                <w:sz w:val="24"/>
                <w:highlight w:val="none"/>
                <w:lang w:val="en-US" w:eastAsia="zh-CN"/>
              </w:rPr>
              <w:t>为</w:t>
            </w:r>
            <w:r>
              <w:rPr>
                <w:rFonts w:hint="eastAsia" w:ascii="仿宋_GB2312" w:hAnsi="仿宋_GB2312" w:eastAsia="仿宋_GB2312" w:cs="仿宋_GB2312"/>
                <w:bCs/>
                <w:color w:val="FF0000"/>
                <w:sz w:val="24"/>
                <w:highlight w:val="none"/>
              </w:rPr>
              <w:t>综合含税总报价的2.5%</w:t>
            </w:r>
          </w:p>
        </w:tc>
      </w:tr>
    </w:tbl>
    <w:p w14:paraId="1F8F7B07">
      <w:pPr>
        <w:spacing w:line="360" w:lineRule="auto"/>
        <w:ind w:firstLine="482"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14:paraId="785F08E6">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color w:val="FF0000"/>
          <w:sz w:val="24"/>
          <w:lang w:val="en-US" w:eastAsia="zh-CN"/>
        </w:rPr>
        <w:t>综合含税总价中包含安全文明施工费（该费用为固定价，为综合含税总报价的2.5%）</w:t>
      </w:r>
      <w:r>
        <w:rPr>
          <w:rFonts w:hint="eastAsia" w:ascii="仿宋_GB2312" w:hAnsi="仿宋_GB2312" w:eastAsia="仿宋_GB2312" w:cs="仿宋_GB2312"/>
          <w:sz w:val="24"/>
          <w:lang w:val="en-US" w:eastAsia="zh-CN"/>
        </w:rPr>
        <w:t>，合同履行期间，乙方应按照此项报价足额投入安全文明施工费。</w:t>
      </w:r>
    </w:p>
    <w:p w14:paraId="1E849F67">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2.报价有效期为报价截止之日起90天（到期日为周末或法定节假日的，顺延至下一个工作日）。</w:t>
      </w:r>
    </w:p>
    <w:p w14:paraId="1A76DE7E">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3.法定代表人亲自报价的，应提供法定代表人身份证明；非报价单位法定代表人亲自报价的，应提供授权委托书（经法定代表人签字并加盖公司公章，授权范围应至少包括报价、谈判、签订合同）。</w:t>
      </w:r>
    </w:p>
    <w:p w14:paraId="0BC90E40">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4.本报价单标注的实质性条款为项目合同的主要条款，若中选，报价人不得要求对实质性条款作出实质性修改，否则采购人有权取消其中选资格。</w:t>
      </w:r>
    </w:p>
    <w:p w14:paraId="0DEFBF98">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5.本项目第一次报价截至后报价人不足三家，采购人选择进行第二次竞争性谈判的，本报价及报价文件仍有效，采购人有权不退回且将该报价与本项目第二次报价中的其他报价人一起作为本项目评审对象。</w:t>
      </w:r>
    </w:p>
    <w:p w14:paraId="6617B99F">
      <w:pPr>
        <w:pStyle w:val="11"/>
        <w:jc w:val="center"/>
        <w:rPr>
          <w:rFonts w:hint="eastAsia" w:ascii="仿宋_GB2312" w:hAnsi="仿宋_GB2312" w:eastAsia="仿宋_GB2312" w:cs="仿宋_GB2312"/>
          <w:b/>
          <w:bCs w:val="0"/>
          <w:sz w:val="24"/>
          <w:lang w:val="en-US" w:eastAsia="zh-CN"/>
        </w:rPr>
      </w:pPr>
      <w:r>
        <w:rPr>
          <w:rFonts w:hint="eastAsia" w:ascii="仿宋_GB2312" w:hAnsi="仿宋_GB2312" w:eastAsia="仿宋_GB2312" w:cs="仿宋_GB2312"/>
          <w:b/>
          <w:bCs w:val="0"/>
          <w:sz w:val="24"/>
          <w:lang w:val="en-US" w:eastAsia="zh-CN"/>
        </w:rPr>
        <w:t>报价明细表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2505"/>
        <w:gridCol w:w="2145"/>
        <w:gridCol w:w="1695"/>
        <w:gridCol w:w="1412"/>
      </w:tblGrid>
      <w:tr w14:paraId="72A1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02820D2F">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序号</w:t>
            </w:r>
          </w:p>
        </w:tc>
        <w:tc>
          <w:tcPr>
            <w:tcW w:w="2505" w:type="dxa"/>
            <w:vAlign w:val="center"/>
          </w:tcPr>
          <w:p w14:paraId="70DF3FB6">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项目明细</w:t>
            </w:r>
          </w:p>
        </w:tc>
        <w:tc>
          <w:tcPr>
            <w:tcW w:w="2145" w:type="dxa"/>
            <w:vAlign w:val="center"/>
          </w:tcPr>
          <w:p w14:paraId="36746234">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综合含税单价（元）</w:t>
            </w:r>
          </w:p>
        </w:tc>
        <w:tc>
          <w:tcPr>
            <w:tcW w:w="1695" w:type="dxa"/>
            <w:vAlign w:val="center"/>
          </w:tcPr>
          <w:p w14:paraId="7B2747D1">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合价（元）</w:t>
            </w:r>
          </w:p>
        </w:tc>
        <w:tc>
          <w:tcPr>
            <w:tcW w:w="1412" w:type="dxa"/>
            <w:vAlign w:val="center"/>
          </w:tcPr>
          <w:p w14:paraId="561BFF83">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备注</w:t>
            </w:r>
          </w:p>
        </w:tc>
      </w:tr>
      <w:tr w14:paraId="7E63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7B4122B4">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1</w:t>
            </w:r>
          </w:p>
        </w:tc>
        <w:tc>
          <w:tcPr>
            <w:tcW w:w="2505" w:type="dxa"/>
            <w:vAlign w:val="center"/>
          </w:tcPr>
          <w:p w14:paraId="1DDE7FE8">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2145" w:type="dxa"/>
            <w:vAlign w:val="center"/>
          </w:tcPr>
          <w:p w14:paraId="3BDC1147">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695" w:type="dxa"/>
            <w:vAlign w:val="center"/>
          </w:tcPr>
          <w:p w14:paraId="03FDD95E">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07B3805A">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r w14:paraId="41BE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214EE394">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w:t>
            </w:r>
          </w:p>
        </w:tc>
        <w:tc>
          <w:tcPr>
            <w:tcW w:w="2505" w:type="dxa"/>
            <w:vAlign w:val="center"/>
          </w:tcPr>
          <w:p w14:paraId="175D44EF">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2145" w:type="dxa"/>
            <w:vAlign w:val="center"/>
          </w:tcPr>
          <w:p w14:paraId="0C0F3F49">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695" w:type="dxa"/>
            <w:vAlign w:val="center"/>
          </w:tcPr>
          <w:p w14:paraId="4CFF0758">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75999B7F">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r w14:paraId="2AB3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794" w:type="dxa"/>
            <w:gridSpan w:val="3"/>
            <w:vAlign w:val="center"/>
          </w:tcPr>
          <w:p w14:paraId="28B71FBF">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合计（即</w:t>
            </w:r>
            <w:r>
              <w:rPr>
                <w:rFonts w:hint="eastAsia" w:ascii="仿宋_GB2312" w:hAnsi="仿宋_GB2312" w:eastAsia="仿宋_GB2312" w:cs="仿宋_GB2312"/>
                <w:bCs/>
                <w:sz w:val="24"/>
                <w:szCs w:val="24"/>
                <w:lang w:eastAsia="zh-CN"/>
              </w:rPr>
              <w:t>综合含税总报价</w:t>
            </w:r>
            <w:r>
              <w:rPr>
                <w:rFonts w:hint="eastAsia" w:ascii="仿宋_GB2312" w:hAnsi="仿宋_GB2312" w:eastAsia="仿宋_GB2312" w:cs="仿宋_GB2312"/>
                <w:b w:val="0"/>
                <w:bCs/>
                <w:spacing w:val="0"/>
                <w:kern w:val="2"/>
                <w:sz w:val="24"/>
                <w:szCs w:val="24"/>
                <w:lang w:val="en-US" w:eastAsia="zh-CN" w:bidi="ar-SA"/>
              </w:rPr>
              <w:t>）</w:t>
            </w:r>
          </w:p>
        </w:tc>
        <w:tc>
          <w:tcPr>
            <w:tcW w:w="1695" w:type="dxa"/>
            <w:vAlign w:val="center"/>
          </w:tcPr>
          <w:p w14:paraId="0A82FDC0">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42361D04">
            <w:pPr>
              <w:pStyle w:val="11"/>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bl>
    <w:p w14:paraId="0EF3E9DF">
      <w:pPr>
        <w:pStyle w:val="11"/>
        <w:jc w:val="center"/>
        <w:rPr>
          <w:rFonts w:hint="eastAsia" w:ascii="仿宋_GB2312" w:hAnsi="仿宋_GB2312" w:eastAsia="仿宋_GB2312" w:cs="仿宋_GB2312"/>
          <w:b/>
          <w:bCs w:val="0"/>
          <w:sz w:val="24"/>
          <w:lang w:val="en-US" w:eastAsia="zh-CN"/>
        </w:rPr>
      </w:pPr>
    </w:p>
    <w:p w14:paraId="1E117510">
      <w:pPr>
        <w:pStyle w:val="11"/>
        <w:spacing w:line="360" w:lineRule="auto"/>
        <w:rPr>
          <w:rFonts w:hint="eastAsia" w:ascii="仿宋_GB2312" w:hAnsi="仿宋_GB2312" w:eastAsia="仿宋_GB2312" w:cs="仿宋_GB2312"/>
          <w:b/>
          <w:bCs/>
          <w:color w:val="auto"/>
          <w:sz w:val="24"/>
          <w:highlight w:val="none"/>
          <w:lang w:val="zh-CN"/>
        </w:rPr>
      </w:pPr>
      <w:r>
        <w:rPr>
          <w:rFonts w:hint="eastAsia" w:ascii="仿宋_GB2312" w:hAnsi="仿宋_GB2312" w:eastAsia="仿宋_GB2312" w:cs="仿宋_GB2312"/>
          <w:bCs w:val="0"/>
          <w:spacing w:val="0"/>
          <w:kern w:val="2"/>
          <w:sz w:val="24"/>
          <w:szCs w:val="24"/>
          <w:lang w:val="en-US" w:eastAsia="zh-CN" w:bidi="ar-SA"/>
        </w:rPr>
        <w:t>注：此表由报价人自行填写，合计金额应与项目报价表中的综合含税总报价一致。</w:t>
      </w:r>
    </w:p>
    <w:p w14:paraId="20F3DE0D">
      <w:pPr>
        <w:keepNext w:val="0"/>
        <w:keepLines w:val="0"/>
        <w:pageBreakBefore w:val="0"/>
        <w:widowControl/>
        <w:numPr>
          <w:ilvl w:val="-1"/>
          <w:numId w:val="0"/>
        </w:numPr>
        <w:kinsoku/>
        <w:wordWrap/>
        <w:overflowPunct/>
        <w:topLinePunct w:val="0"/>
        <w:autoSpaceDE/>
        <w:autoSpaceDN/>
        <w:bidi w:val="0"/>
        <w:spacing w:line="240" w:lineRule="auto"/>
        <w:ind w:left="0" w:leftChars="0"/>
        <w:textAlignment w:val="auto"/>
        <w:rPr>
          <w:rFonts w:hint="eastAsia" w:ascii="仿宋_GB2312" w:hAnsi="仿宋_GB2312" w:eastAsia="仿宋_GB2312" w:cs="仿宋_GB2312"/>
          <w:b/>
          <w:bCs/>
          <w:color w:val="auto"/>
          <w:sz w:val="24"/>
          <w:highlight w:val="none"/>
          <w:lang w:val="zh-CN"/>
        </w:rPr>
      </w:pPr>
      <w:r>
        <w:rPr>
          <w:rFonts w:hint="eastAsia" w:ascii="仿宋_GB2312" w:hAnsi="仿宋_GB2312" w:eastAsia="仿宋_GB2312" w:cs="仿宋_GB2312"/>
          <w:b/>
          <w:bCs/>
          <w:color w:val="auto"/>
          <w:sz w:val="24"/>
          <w:highlight w:val="none"/>
          <w:lang w:val="zh-CN"/>
        </w:rPr>
        <w:br w:type="page"/>
      </w:r>
    </w:p>
    <w:p w14:paraId="6A80710D">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en-US" w:eastAsia="zh-CN"/>
        </w:rPr>
      </w:pPr>
      <w:r>
        <w:rPr>
          <w:rFonts w:hint="eastAsia" w:ascii="仿宋_GB2312" w:hAnsi="仿宋_GB2312" w:eastAsia="仿宋_GB2312" w:cs="仿宋_GB2312"/>
          <w:b/>
          <w:bCs/>
          <w:color w:val="auto"/>
          <w:sz w:val="24"/>
          <w:highlight w:val="none"/>
          <w:lang w:val="zh-CN"/>
        </w:rPr>
        <w:t>附件</w:t>
      </w:r>
      <w:r>
        <w:rPr>
          <w:rFonts w:hint="eastAsia" w:ascii="仿宋_GB2312" w:hAnsi="仿宋_GB2312" w:eastAsia="仿宋_GB2312" w:cs="仿宋_GB2312"/>
          <w:b/>
          <w:bCs/>
          <w:color w:val="auto"/>
          <w:sz w:val="24"/>
          <w:highlight w:val="none"/>
          <w:lang w:val="en-US" w:eastAsia="zh-CN"/>
        </w:rPr>
        <w:t>2：</w:t>
      </w:r>
    </w:p>
    <w:p w14:paraId="38CAFF51">
      <w:pPr>
        <w:adjustRightInd/>
        <w:snapToGrid/>
        <w:spacing w:line="240" w:lineRule="auto"/>
        <w:jc w:val="center"/>
        <w:outlineLvl w:val="9"/>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14:paraId="23DEEE3A">
      <w:pPr>
        <w:widowControl/>
        <w:spacing w:line="360" w:lineRule="auto"/>
        <w:rPr>
          <w:rFonts w:ascii="仿宋_GB2312" w:hAnsi="仿宋_GB2312" w:eastAsia="仿宋_GB2312" w:cs="仿宋_GB2312"/>
          <w:sz w:val="24"/>
        </w:rPr>
      </w:pPr>
    </w:p>
    <w:p w14:paraId="7EA5D252">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14:paraId="7C937CC4">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送达地址：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（中选后合同及合同履行资料邮寄地址）</w:t>
      </w:r>
    </w:p>
    <w:p w14:paraId="443CC1AD">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E3E4326">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14:paraId="4518DBFF">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14:paraId="0BE07CE1">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14:paraId="1291A0F7">
      <w:pPr>
        <w:widowControl/>
        <w:spacing w:line="440" w:lineRule="exact"/>
        <w:ind w:firstLine="960" w:firstLineChars="400"/>
        <w:rPr>
          <w:rFonts w:ascii="仿宋_GB2312" w:hAnsi="仿宋_GB2312" w:eastAsia="仿宋_GB2312" w:cs="仿宋_GB2312"/>
          <w:sz w:val="24"/>
        </w:rPr>
      </w:pPr>
      <w:r>
        <w:rPr>
          <w:rFonts w:hint="eastAsia" w:ascii="仿宋_GB2312" w:hAnsi="仿宋_GB2312" w:eastAsia="仿宋_GB2312" w:cs="仿宋_GB2312"/>
          <w:sz w:val="24"/>
        </w:rPr>
        <w:t>特此证明。</w:t>
      </w:r>
    </w:p>
    <w:p w14:paraId="39324D82">
      <w:pPr>
        <w:widowControl/>
        <w:spacing w:line="440" w:lineRule="exact"/>
        <w:ind w:firstLine="480" w:firstLineChars="200"/>
        <w:rPr>
          <w:rFonts w:ascii="仿宋_GB2312" w:hAnsi="仿宋_GB2312" w:eastAsia="仿宋_GB2312" w:cs="仿宋_GB2312"/>
          <w:sz w:val="24"/>
        </w:rPr>
      </w:pPr>
    </w:p>
    <w:p w14:paraId="1D8368B5">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7CB3F646">
        <w:tblPrEx>
          <w:tblCellMar>
            <w:top w:w="0" w:type="dxa"/>
            <w:left w:w="108" w:type="dxa"/>
            <w:bottom w:w="0" w:type="dxa"/>
            <w:right w:w="108" w:type="dxa"/>
          </w:tblCellMar>
        </w:tblPrEx>
        <w:trPr>
          <w:trHeight w:val="3061" w:hRule="atLeast"/>
          <w:jc w:val="center"/>
        </w:trPr>
        <w:tc>
          <w:tcPr>
            <w:tcW w:w="4819" w:type="dxa"/>
            <w:noWrap w:val="0"/>
            <w:vAlign w:val="center"/>
          </w:tcPr>
          <w:p w14:paraId="0A4C7DA2">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77FAE5C1">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bl>
    <w:p w14:paraId="3533C23E">
      <w:pPr>
        <w:widowControl/>
        <w:spacing w:line="440" w:lineRule="exact"/>
        <w:ind w:firstLine="480" w:firstLineChars="200"/>
        <w:rPr>
          <w:rFonts w:ascii="仿宋_GB2312" w:hAnsi="仿宋_GB2312" w:eastAsia="仿宋_GB2312" w:cs="仿宋_GB2312"/>
          <w:sz w:val="24"/>
        </w:rPr>
      </w:pPr>
    </w:p>
    <w:p w14:paraId="5D137E94">
      <w:pPr>
        <w:widowControl/>
        <w:spacing w:line="440" w:lineRule="exact"/>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（盖单位公章/专用章）</w:t>
      </w:r>
    </w:p>
    <w:p w14:paraId="789C8972">
      <w:pPr>
        <w:pStyle w:val="11"/>
        <w:ind w:firstLine="3640" w:firstLineChars="1400"/>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p>
    <w:p w14:paraId="3AF34677">
      <w:pPr>
        <w:widowControl/>
        <w:spacing w:line="440" w:lineRule="exact"/>
        <w:ind w:firstLine="6840" w:firstLineChars="2850"/>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5D4A413C">
      <w:pPr>
        <w:widowControl/>
        <w:spacing w:line="440" w:lineRule="exact"/>
        <w:ind w:firstLine="480" w:firstLineChars="200"/>
        <w:rPr>
          <w:rFonts w:ascii="仿宋_GB2312" w:hAnsi="仿宋_GB2312" w:eastAsia="仿宋_GB2312" w:cs="仿宋_GB2312"/>
          <w:sz w:val="24"/>
        </w:rPr>
      </w:pPr>
    </w:p>
    <w:p w14:paraId="6B496715">
      <w:pPr>
        <w:widowControl/>
        <w:spacing w:line="440" w:lineRule="exact"/>
        <w:ind w:firstLine="480" w:firstLineChars="200"/>
        <w:rPr>
          <w:rFonts w:ascii="仿宋_GB2312" w:hAnsi="仿宋_GB2312" w:eastAsia="仿宋_GB2312" w:cs="仿宋_GB2312"/>
          <w:sz w:val="24"/>
        </w:rPr>
      </w:pPr>
    </w:p>
    <w:p w14:paraId="5328040E">
      <w:pPr>
        <w:widowControl/>
        <w:spacing w:line="4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64C398A3">
      <w:pPr>
        <w:widowControl/>
        <w:rPr>
          <w:rFonts w:ascii="仿宋_GB2312" w:hAnsi="仿宋_GB2312" w:eastAsia="仿宋_GB2312" w:cs="仿宋_GB2312"/>
          <w:szCs w:val="21"/>
        </w:rPr>
      </w:pPr>
      <w:r>
        <w:rPr>
          <w:rFonts w:hint="eastAsia" w:ascii="仿宋_GB2312" w:hAnsi="仿宋_GB2312" w:eastAsia="仿宋_GB2312" w:cs="仿宋_GB2312"/>
          <w:szCs w:val="21"/>
        </w:rPr>
        <w:br w:type="page"/>
      </w:r>
    </w:p>
    <w:p w14:paraId="21F496D6">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b/>
          <w:bCs/>
          <w:szCs w:val="21"/>
          <w:lang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lang w:eastAsia="zh-CN"/>
        </w:rPr>
        <w:t>：</w:t>
      </w:r>
    </w:p>
    <w:p w14:paraId="7D2DC599">
      <w:pPr>
        <w:adjustRightInd w:val="0"/>
        <w:snapToGrid w:val="0"/>
        <w:spacing w:line="300" w:lineRule="auto"/>
        <w:jc w:val="center"/>
        <w:outlineLvl w:val="0"/>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14:paraId="345E4644">
      <w:pPr>
        <w:widowControl/>
        <w:spacing w:line="360" w:lineRule="auto"/>
        <w:rPr>
          <w:rFonts w:ascii="仿宋_GB2312" w:hAnsi="仿宋_GB2312" w:eastAsia="仿宋_GB2312" w:cs="仿宋_GB2312"/>
          <w:sz w:val="24"/>
        </w:rPr>
      </w:pPr>
    </w:p>
    <w:p w14:paraId="13B2D4A4">
      <w:pPr>
        <w:tabs>
          <w:tab w:val="left" w:pos="900"/>
        </w:tabs>
        <w:adjustRightInd w:val="0"/>
        <w:snapToGrid w:val="0"/>
        <w:spacing w:line="30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14:paraId="1D72637C">
      <w:pPr>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14:paraId="409E0A7E">
      <w:pPr>
        <w:widowControl/>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代理人无转委托权。</w:t>
      </w:r>
    </w:p>
    <w:p w14:paraId="5C1AD200">
      <w:pPr>
        <w:widowControl/>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3643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14:paraId="2B474FBC">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2470785B">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14:paraId="2CA5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14:paraId="118C706F">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14:paraId="549FB881">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14:paraId="2B9DEE55">
      <w:pPr>
        <w:widowControl/>
        <w:spacing w:line="360" w:lineRule="auto"/>
        <w:rPr>
          <w:rFonts w:ascii="仿宋_GB2312" w:hAnsi="仿宋_GB2312" w:eastAsia="仿宋_GB2312" w:cs="仿宋_GB2312"/>
          <w:sz w:val="24"/>
        </w:rPr>
      </w:pPr>
    </w:p>
    <w:p w14:paraId="114A5A21">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（盖单位公章/专用章）</w:t>
      </w:r>
    </w:p>
    <w:p w14:paraId="32089E39">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法定代表人（签字）：</w:t>
      </w:r>
      <w:r>
        <w:rPr>
          <w:rFonts w:hint="eastAsia" w:ascii="仿宋_GB2312" w:hAnsi="仿宋_GB2312" w:eastAsia="仿宋_GB2312" w:cs="仿宋_GB2312"/>
          <w:sz w:val="24"/>
          <w:u w:val="single"/>
        </w:rPr>
        <w:t xml:space="preserve">                              </w:t>
      </w:r>
    </w:p>
    <w:p w14:paraId="08A2E0A6">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委托代理人（签字）：</w:t>
      </w:r>
      <w:r>
        <w:rPr>
          <w:rFonts w:hint="eastAsia" w:ascii="仿宋_GB2312" w:hAnsi="仿宋_GB2312" w:eastAsia="仿宋_GB2312" w:cs="仿宋_GB2312"/>
          <w:sz w:val="24"/>
          <w:u w:val="single"/>
        </w:rPr>
        <w:t xml:space="preserve">                              </w:t>
      </w:r>
    </w:p>
    <w:p w14:paraId="161FFEFC">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送达地址</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（中选后合同及合同履行资料邮寄地址）</w:t>
      </w:r>
      <w:r>
        <w:rPr>
          <w:rFonts w:hint="eastAsia" w:ascii="仿宋_GB2312" w:hAnsi="仿宋_GB2312" w:eastAsia="仿宋_GB2312" w:cs="仿宋_GB2312"/>
          <w:sz w:val="24"/>
          <w:u w:val="single"/>
        </w:rPr>
        <w:t xml:space="preserve">       </w:t>
      </w:r>
    </w:p>
    <w:p w14:paraId="32ACB36B">
      <w:pPr>
        <w:widowControl/>
        <w:spacing w:line="360" w:lineRule="auto"/>
        <w:ind w:right="-260" w:rightChars="-124"/>
        <w:rPr>
          <w:rFonts w:ascii="仿宋_GB2312" w:hAnsi="仿宋_GB2312" w:eastAsia="仿宋_GB2312" w:cs="仿宋_GB2312"/>
          <w:sz w:val="24"/>
          <w:u w:val="single"/>
        </w:rPr>
      </w:pPr>
      <w:r>
        <w:rPr>
          <w:rFonts w:hint="eastAsia" w:ascii="仿宋_GB2312" w:hAnsi="仿宋_GB2312" w:eastAsia="仿宋_GB2312" w:cs="仿宋_GB2312"/>
          <w:sz w:val="24"/>
        </w:rPr>
        <w:t xml:space="preserve">                                     联系电话：</w:t>
      </w:r>
      <w:r>
        <w:rPr>
          <w:rFonts w:hint="eastAsia" w:ascii="仿宋_GB2312" w:hAnsi="仿宋_GB2312" w:eastAsia="仿宋_GB2312" w:cs="仿宋_GB2312"/>
          <w:sz w:val="24"/>
          <w:u w:val="single"/>
        </w:rPr>
        <w:t xml:space="preserve">                                       </w:t>
      </w:r>
    </w:p>
    <w:p w14:paraId="63A7117B">
      <w:pPr>
        <w:widowControl/>
        <w:spacing w:line="360" w:lineRule="auto"/>
        <w:ind w:firstLine="6480" w:firstLineChars="2700"/>
        <w:jc w:val="right"/>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28946FF0">
      <w:pPr>
        <w:widowControl/>
        <w:spacing w:line="360" w:lineRule="auto"/>
        <w:rPr>
          <w:rFonts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12C27397">
      <w:pPr>
        <w:pStyle w:val="11"/>
      </w:pPr>
    </w:p>
    <w:p w14:paraId="270D62FF">
      <w:pPr>
        <w:pStyle w:val="11"/>
      </w:pPr>
    </w:p>
    <w:p w14:paraId="380772BA">
      <w:pPr>
        <w:pStyle w:val="11"/>
      </w:pPr>
    </w:p>
    <w:p w14:paraId="6AC503A5">
      <w:pPr>
        <w:pStyle w:val="11"/>
        <w:rPr>
          <w:rFonts w:hint="eastAsia" w:eastAsia="宋体"/>
          <w:b/>
          <w:bCs w:val="0"/>
          <w:lang w:eastAsia="zh-CN"/>
        </w:rPr>
      </w:pPr>
      <w:r>
        <w:rPr>
          <w:rFonts w:hint="eastAsia"/>
          <w:b/>
          <w:bCs w:val="0"/>
          <w:lang w:eastAsia="zh-CN"/>
        </w:rPr>
        <w:t>附件</w:t>
      </w:r>
      <w:r>
        <w:rPr>
          <w:rFonts w:hint="eastAsia"/>
          <w:b/>
          <w:bCs w:val="0"/>
          <w:lang w:val="en-US" w:eastAsia="zh-CN"/>
        </w:rPr>
        <w:t>4</w:t>
      </w:r>
      <w:r>
        <w:rPr>
          <w:rFonts w:hint="eastAsia"/>
          <w:b/>
          <w:bCs w:val="0"/>
          <w:lang w:eastAsia="zh-CN"/>
        </w:rPr>
        <w:t>：</w:t>
      </w:r>
    </w:p>
    <w:p w14:paraId="6AF4F624">
      <w:pPr>
        <w:adjustRightInd w:val="0"/>
        <w:snapToGrid w:val="0"/>
        <w:jc w:val="center"/>
        <w:rPr>
          <w:rFonts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承诺书</w:t>
      </w:r>
    </w:p>
    <w:p w14:paraId="3241FA13">
      <w:pPr>
        <w:adjustRightInd w:val="0"/>
        <w:snapToGrid w:val="0"/>
        <w:spacing w:line="300" w:lineRule="auto"/>
        <w:rPr>
          <w:rFonts w:ascii="仿宋_GB2312" w:hAnsi="仿宋_GB2312" w:eastAsia="仿宋_GB2312" w:cs="仿宋_GB2312"/>
          <w:sz w:val="24"/>
        </w:rPr>
      </w:pPr>
    </w:p>
    <w:p w14:paraId="094584E2">
      <w:pPr>
        <w:adjustRightInd w:val="0"/>
        <w:snapToGrid w:val="0"/>
        <w:spacing w:line="300" w:lineRule="auto"/>
        <w:rPr>
          <w:rFonts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rPr>
        <w:t>四川泸州川南发电有限责任公司</w:t>
      </w:r>
      <w:r>
        <w:rPr>
          <w:rFonts w:hint="eastAsia" w:ascii="仿宋_GB2312" w:hAnsi="仿宋_GB2312" w:eastAsia="仿宋_GB2312" w:cs="仿宋_GB2312"/>
          <w:b/>
          <w:sz w:val="24"/>
        </w:rPr>
        <w:t>：</w:t>
      </w:r>
    </w:p>
    <w:p w14:paraId="2631C0C7">
      <w:pPr>
        <w:tabs>
          <w:tab w:val="left" w:pos="900"/>
        </w:tabs>
        <w:adjustRightInd w:val="0"/>
        <w:snapToGri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我公司已充分了解燃油库房#1、#2储油罐感温光纤报警系统改造</w:t>
      </w:r>
      <w:r>
        <w:rPr>
          <w:rFonts w:hint="eastAsia" w:ascii="仿宋_GB2312" w:hAnsi="仿宋_GB2312" w:eastAsia="仿宋_GB2312" w:cs="仿宋_GB2312"/>
          <w:sz w:val="24"/>
          <w:lang w:val="en-US" w:eastAsia="zh-CN"/>
        </w:rPr>
        <w:t>项目</w:t>
      </w:r>
      <w:r>
        <w:rPr>
          <w:rFonts w:hint="eastAsia" w:ascii="仿宋_GB2312" w:hAnsi="仿宋_GB2312" w:eastAsia="仿宋_GB2312" w:cs="仿宋_GB2312"/>
          <w:sz w:val="24"/>
        </w:rPr>
        <w:t>的全部工作内容，并完全了解和理解</w:t>
      </w:r>
      <w:r>
        <w:rPr>
          <w:rFonts w:hint="eastAsia" w:ascii="仿宋_GB2312" w:hAnsi="仿宋_GB2312" w:eastAsia="仿宋_GB2312" w:cs="仿宋_GB2312"/>
          <w:sz w:val="24"/>
          <w:u w:val="single"/>
        </w:rPr>
        <w:t>竞争性谈判</w:t>
      </w:r>
      <w:r>
        <w:rPr>
          <w:rFonts w:hint="eastAsia" w:ascii="仿宋_GB2312" w:hAnsi="仿宋_GB2312" w:eastAsia="仿宋_GB2312" w:cs="仿宋_GB2312"/>
          <w:sz w:val="24"/>
        </w:rPr>
        <w:t>文件</w:t>
      </w:r>
      <w:r>
        <w:rPr>
          <w:rFonts w:hint="eastAsia" w:ascii="仿宋_GB2312" w:hAnsi="仿宋_GB2312" w:eastAsia="仿宋_GB2312" w:cs="仿宋_GB2312"/>
          <w:sz w:val="24"/>
          <w:lang w:eastAsia="zh-CN"/>
        </w:rPr>
        <w:t>和</w:t>
      </w:r>
      <w:r>
        <w:rPr>
          <w:rFonts w:hint="eastAsia" w:ascii="仿宋_GB2312" w:hAnsi="仿宋_GB2312" w:eastAsia="仿宋_GB2312" w:cs="仿宋_GB2312"/>
          <w:sz w:val="24"/>
          <w:lang w:val="en-US" w:eastAsia="zh-CN"/>
        </w:rPr>
        <w:t>技术规范书</w:t>
      </w:r>
      <w:r>
        <w:rPr>
          <w:rFonts w:hint="eastAsia" w:ascii="仿宋_GB2312" w:hAnsi="仿宋_GB2312" w:eastAsia="仿宋_GB2312" w:cs="仿宋_GB2312"/>
          <w:sz w:val="24"/>
          <w:lang w:eastAsia="zh-CN"/>
        </w:rPr>
        <w:t>要求</w:t>
      </w:r>
      <w:r>
        <w:rPr>
          <w:rFonts w:hint="eastAsia" w:ascii="仿宋_GB2312" w:hAnsi="仿宋_GB2312" w:eastAsia="仿宋_GB2312" w:cs="仿宋_GB2312"/>
          <w:sz w:val="24"/>
        </w:rPr>
        <w:t>。我公司同意自报价截止之日起90天内，本次报价一直对我公司具有约束力，并随时被接受。</w:t>
      </w:r>
    </w:p>
    <w:p w14:paraId="0C5FE369">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1.我方</w:t>
      </w:r>
      <w:r>
        <w:rPr>
          <w:rFonts w:ascii="仿宋_GB2312" w:hAnsi="仿宋_GB2312" w:eastAsia="仿宋_GB2312" w:cs="仿宋_GB2312"/>
          <w:sz w:val="24"/>
        </w:rPr>
        <w:t>承诺我公司</w:t>
      </w:r>
      <w:r>
        <w:rPr>
          <w:rFonts w:hint="eastAsia" w:ascii="仿宋_GB2312" w:hAnsi="仿宋_GB2312" w:eastAsia="仿宋_GB2312" w:cs="仿宋_GB2312"/>
          <w:sz w:val="24"/>
        </w:rPr>
        <w:t>依法设立，</w:t>
      </w:r>
      <w:r>
        <w:rPr>
          <w:rFonts w:hint="eastAsia" w:ascii="仿宋_GB2312" w:hAnsi="仿宋_GB2312" w:eastAsia="仿宋_GB2312" w:cs="仿宋_GB2312"/>
          <w:sz w:val="24"/>
          <w:lang w:eastAsia="zh-CN"/>
        </w:rPr>
        <w:t>合法经营，</w:t>
      </w:r>
      <w:r>
        <w:rPr>
          <w:rFonts w:hint="eastAsia" w:ascii="仿宋_GB2312" w:hAnsi="仿宋_GB2312" w:eastAsia="仿宋_GB2312" w:cs="仿宋_GB2312"/>
          <w:sz w:val="24"/>
        </w:rPr>
        <w:t>具有相应执业资质,具有与本项目相匹配的经营资质和经济技术能力，合法经营、依法执业，遵守法律法规、职业道德和行业准则，按规定通过了有关部门的年度检验，有良好的社会信誉、银行资信和商业信誉，近三年提供的服务未因重大服务质量等问题受到省国资委通报或受到行业协会严重处理，未被市场监管部门列入经营异常名录，并不存在下列情形：（1）曾违反中介服务合同约定给委托方造成重大损失的；（2）分别接受利益相对方委托，就同一事项提供有利益冲突的服务的；（3）存在弄虚作假、恶意串通、营私舞弊等严重不诚信行为；（4）存在与利益相对方单位负责人为同一人或者存在股权关系、管理关系的；（5）在本项目比选申请文件截止之日之前三年内，在经营活动中有重大违法记录，因重大责任问题受到相关行业、相关单位等严重处理（6）曾出具虚假或重大失实的业务报告的；（7）处于被责令停业，财产被接管、冻结、破产状态。</w:t>
      </w:r>
    </w:p>
    <w:p w14:paraId="1FEBD76E">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2.若中选，</w:t>
      </w:r>
      <w:r>
        <w:rPr>
          <w:rFonts w:ascii="仿宋_GB2312" w:hAnsi="仿宋_GB2312" w:eastAsia="仿宋_GB2312" w:cs="仿宋_GB2312"/>
          <w:sz w:val="24"/>
        </w:rPr>
        <w:t>我</w:t>
      </w:r>
      <w:r>
        <w:rPr>
          <w:rFonts w:hint="eastAsia" w:ascii="仿宋_GB2312" w:hAnsi="仿宋_GB2312" w:eastAsia="仿宋_GB2312" w:cs="仿宋_GB2312"/>
          <w:sz w:val="24"/>
        </w:rPr>
        <w:t>方</w:t>
      </w:r>
      <w:r>
        <w:rPr>
          <w:rFonts w:ascii="仿宋_GB2312" w:hAnsi="仿宋_GB2312" w:eastAsia="仿宋_GB2312" w:cs="仿宋_GB2312"/>
          <w:sz w:val="24"/>
        </w:rPr>
        <w:t>承诺</w:t>
      </w:r>
      <w:r>
        <w:rPr>
          <w:rFonts w:hint="eastAsia" w:ascii="仿宋_GB2312" w:hAnsi="仿宋_GB2312" w:eastAsia="仿宋_GB2312" w:cs="仿宋_GB2312"/>
          <w:sz w:val="24"/>
        </w:rPr>
        <w:t>不对报价进行调整（国家调整税率、合同订立依据的现实或法律规定发生变动的除外），并</w:t>
      </w:r>
      <w:r>
        <w:rPr>
          <w:rFonts w:ascii="仿宋_GB2312" w:hAnsi="仿宋_GB2312" w:eastAsia="仿宋_GB2312" w:cs="仿宋_GB2312"/>
          <w:sz w:val="24"/>
        </w:rPr>
        <w:t>严格按照我方提供的技术方案和</w:t>
      </w:r>
      <w:r>
        <w:rPr>
          <w:rFonts w:hint="eastAsia" w:ascii="仿宋_GB2312" w:hAnsi="仿宋_GB2312" w:eastAsia="仿宋_GB2312" w:cs="仿宋_GB2312"/>
          <w:sz w:val="24"/>
        </w:rPr>
        <w:t>贵方</w:t>
      </w:r>
      <w:r>
        <w:rPr>
          <w:rFonts w:ascii="仿宋_GB2312" w:hAnsi="仿宋_GB2312" w:eastAsia="仿宋_GB2312" w:cs="仿宋_GB2312"/>
          <w:sz w:val="24"/>
        </w:rPr>
        <w:t>采购文件要求施工，并接受</w:t>
      </w:r>
      <w:r>
        <w:rPr>
          <w:rFonts w:hint="eastAsia" w:ascii="仿宋_GB2312" w:hAnsi="仿宋_GB2312" w:eastAsia="仿宋_GB2312" w:cs="仿宋_GB2312"/>
          <w:sz w:val="24"/>
        </w:rPr>
        <w:t>贵方的</w:t>
      </w:r>
      <w:r>
        <w:rPr>
          <w:rFonts w:ascii="仿宋_GB2312" w:hAnsi="仿宋_GB2312" w:eastAsia="仿宋_GB2312" w:cs="仿宋_GB2312"/>
          <w:sz w:val="24"/>
        </w:rPr>
        <w:t>监督及验收。若因我</w:t>
      </w:r>
      <w:r>
        <w:rPr>
          <w:rFonts w:hint="eastAsia" w:ascii="仿宋_GB2312" w:hAnsi="仿宋_GB2312" w:eastAsia="仿宋_GB2312" w:cs="仿宋_GB2312"/>
          <w:sz w:val="24"/>
        </w:rPr>
        <w:t>方</w:t>
      </w:r>
      <w:r>
        <w:rPr>
          <w:rFonts w:ascii="仿宋_GB2312" w:hAnsi="仿宋_GB2312" w:eastAsia="仿宋_GB2312" w:cs="仿宋_GB2312"/>
          <w:sz w:val="24"/>
        </w:rPr>
        <w:t>原因导致的工期延误，我</w:t>
      </w:r>
      <w:r>
        <w:rPr>
          <w:rFonts w:hint="eastAsia" w:ascii="仿宋_GB2312" w:hAnsi="仿宋_GB2312" w:eastAsia="仿宋_GB2312" w:cs="仿宋_GB2312"/>
          <w:sz w:val="24"/>
        </w:rPr>
        <w:t>方</w:t>
      </w:r>
      <w:r>
        <w:rPr>
          <w:rFonts w:ascii="仿宋_GB2312" w:hAnsi="仿宋_GB2312" w:eastAsia="仿宋_GB2312" w:cs="仿宋_GB2312"/>
          <w:sz w:val="24"/>
        </w:rPr>
        <w:t>承诺按合同条款要求进行赔偿，结算时</w:t>
      </w:r>
      <w:r>
        <w:rPr>
          <w:rFonts w:hint="eastAsia" w:ascii="仿宋_GB2312" w:hAnsi="仿宋_GB2312" w:eastAsia="仿宋_GB2312" w:cs="仿宋_GB2312"/>
          <w:sz w:val="24"/>
        </w:rPr>
        <w:t>贵方有权</w:t>
      </w:r>
      <w:r>
        <w:rPr>
          <w:rFonts w:ascii="仿宋_GB2312" w:hAnsi="仿宋_GB2312" w:eastAsia="仿宋_GB2312" w:cs="仿宋_GB2312"/>
          <w:sz w:val="24"/>
        </w:rPr>
        <w:t>从工程款中扣减。</w:t>
      </w:r>
    </w:p>
    <w:p w14:paraId="74045997">
      <w:pPr>
        <w:tabs>
          <w:tab w:val="left" w:pos="900"/>
        </w:tabs>
        <w:adjustRightInd w:val="0"/>
        <w:snapToGrid w:val="0"/>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若中选，我方自贵方发出中选通知书之日起，同贵方成立本项目的合同关系，并将按照采购文件的具体规定与贵方签订书面经济合同，严格履行合同义务，按时为工程提供优质的服务和成果。如果在合同执行过程中出现服务质量问题，我方承诺尽快更换/退货，并承担相应的经济责任。</w:t>
      </w:r>
    </w:p>
    <w:p w14:paraId="0B712097">
      <w:pPr>
        <w:numPr>
          <w:ilvl w:val="0"/>
          <w:numId w:val="0"/>
        </w:numPr>
        <w:tabs>
          <w:tab w:val="left" w:pos="900"/>
        </w:tabs>
        <w:adjustRightInd w:val="0"/>
        <w:snapToGrid w:val="0"/>
        <w:spacing w:line="360" w:lineRule="auto"/>
        <w:ind w:left="0" w:leftChars="0" w:firstLine="480" w:firstLineChars="200"/>
        <w:rPr>
          <w:rFonts w:ascii="仿宋_GB2312" w:hAnsi="仿宋_GB2312" w:eastAsia="仿宋_GB2312" w:cs="仿宋_GB2312"/>
          <w:sz w:val="24"/>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lang w:eastAsia="zh-CN"/>
        </w:rPr>
        <w:t>若中选，因我方原因未按</w:t>
      </w:r>
      <w:r>
        <w:rPr>
          <w:rFonts w:hint="eastAsia" w:ascii="仿宋_GB2312" w:hAnsi="仿宋_GB2312" w:eastAsia="仿宋_GB2312" w:cs="仿宋_GB2312"/>
          <w:sz w:val="24"/>
          <w:u w:val="none"/>
          <w:lang w:val="en-US" w:eastAsia="zh-CN"/>
        </w:rPr>
        <w:t>竞争性谈判</w:t>
      </w:r>
      <w:r>
        <w:rPr>
          <w:rFonts w:hint="eastAsia" w:ascii="仿宋_GB2312" w:hAnsi="仿宋_GB2312" w:eastAsia="仿宋_GB2312" w:cs="仿宋_GB2312"/>
          <w:sz w:val="24"/>
          <w:lang w:eastAsia="zh-CN"/>
        </w:rPr>
        <w:t>文件要求与贵方签订书面合同</w:t>
      </w:r>
      <w:r>
        <w:rPr>
          <w:rFonts w:hint="eastAsia" w:ascii="仿宋_GB2312" w:hAnsi="仿宋_GB2312" w:eastAsia="仿宋_GB2312" w:cs="仿宋_GB2312"/>
          <w:sz w:val="24"/>
          <w:lang w:val="en-US" w:eastAsia="zh-CN"/>
        </w:rPr>
        <w:t>或自愿放弃中选资格的</w:t>
      </w:r>
      <w:r>
        <w:rPr>
          <w:rFonts w:hint="eastAsia" w:ascii="仿宋_GB2312" w:hAnsi="仿宋_GB2312" w:eastAsia="仿宋_GB2312" w:cs="仿宋_GB2312"/>
          <w:sz w:val="24"/>
          <w:lang w:eastAsia="zh-CN"/>
        </w:rPr>
        <w:t>，贵方有权取消我方中选资格并有权扣除我方的报价保证金。</w:t>
      </w:r>
    </w:p>
    <w:p w14:paraId="3578B97A">
      <w:pPr>
        <w:tabs>
          <w:tab w:val="left" w:pos="900"/>
        </w:tabs>
        <w:adjustRightInd w:val="0"/>
        <w:snapToGrid w:val="0"/>
        <w:spacing w:line="360" w:lineRule="auto"/>
        <w:ind w:firstLine="480" w:firstLineChars="200"/>
        <w:rPr>
          <w:rFonts w:ascii="仿宋_GB2312" w:hAnsi="仿宋_GB2312" w:eastAsia="仿宋_GB2312" w:cs="仿宋_GB2312"/>
          <w:bCs/>
          <w:sz w:val="24"/>
        </w:rPr>
      </w:pPr>
      <w:r>
        <w:rPr>
          <w:rFonts w:hint="eastAsia" w:ascii="仿宋_GB2312" w:hAnsi="仿宋_GB2312" w:eastAsia="仿宋_GB2312" w:cs="仿宋_GB2312"/>
          <w:sz w:val="24"/>
        </w:rPr>
        <w:t>5.在整个竞争性谈判过程中，我方若有违规行为，贵方可按竞争性谈判文件之规定给予惩罚，我方完全接受</w:t>
      </w:r>
      <w:r>
        <w:rPr>
          <w:rFonts w:hint="eastAsia" w:ascii="仿宋_GB2312" w:hAnsi="仿宋_GB2312" w:eastAsia="仿宋_GB2312" w:cs="仿宋_GB2312"/>
          <w:bCs/>
          <w:sz w:val="24"/>
        </w:rPr>
        <w:t xml:space="preserve">。         </w:t>
      </w:r>
    </w:p>
    <w:p w14:paraId="0F6EDE7F">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14:paraId="0E8FC8C9">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法定代表人或其委托代理人（签字）：</w:t>
      </w:r>
      <w:r>
        <w:rPr>
          <w:rFonts w:hint="eastAsia" w:ascii="仿宋_GB2312" w:hAnsi="仿宋_GB2312" w:eastAsia="仿宋_GB2312" w:cs="仿宋_GB2312"/>
          <w:sz w:val="24"/>
          <w:u w:val="single"/>
        </w:rPr>
        <w:t xml:space="preserve">                  </w:t>
      </w:r>
    </w:p>
    <w:p w14:paraId="693DEE60">
      <w:pPr>
        <w:spacing w:line="576" w:lineRule="exact"/>
        <w:jc w:val="cente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40B8B2B">
      <w:pPr>
        <w:rPr>
          <w:rFonts w:hint="default"/>
          <w:lang w:val="zh-CN" w:eastAsia="zh-CN"/>
        </w:rPr>
      </w:pPr>
    </w:p>
    <w:p w14:paraId="0B3CD3F3">
      <w:pPr>
        <w:pStyle w:val="11"/>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61580CD4">
      <w:pPr>
        <w:pStyle w:val="11"/>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48239A38">
      <w:pPr>
        <w:pStyle w:val="11"/>
        <w:rPr>
          <w:rFonts w:hint="eastAsia" w:ascii="仿宋_GB2312" w:hAnsi="仿宋_GB2312" w:eastAsia="仿宋_GB2312" w:cs="仿宋_GB2312"/>
          <w:sz w:val="24"/>
        </w:rPr>
      </w:pPr>
      <w:r>
        <w:rPr>
          <w:rFonts w:hint="eastAsia"/>
          <w:b/>
          <w:bCs w:val="0"/>
          <w:lang w:eastAsia="zh-CN"/>
        </w:rPr>
        <w:t>附件</w:t>
      </w:r>
      <w:r>
        <w:rPr>
          <w:rFonts w:hint="eastAsia"/>
          <w:b/>
          <w:bCs w:val="0"/>
          <w:lang w:val="en-US" w:eastAsia="zh-CN"/>
        </w:rPr>
        <w:t>5</w:t>
      </w:r>
      <w:r>
        <w:rPr>
          <w:rFonts w:hint="eastAsia"/>
          <w:b/>
          <w:bCs w:val="0"/>
          <w:lang w:eastAsia="zh-CN"/>
        </w:rPr>
        <w:t>：</w:t>
      </w:r>
    </w:p>
    <w:p w14:paraId="0EFD4B7E">
      <w:pPr>
        <w:pStyle w:val="11"/>
        <w:rPr>
          <w:rFonts w:hint="eastAsia" w:ascii="仿宋_GB2312" w:hAnsi="仿宋_GB2312" w:eastAsia="仿宋_GB2312" w:cs="仿宋_GB2312"/>
          <w:sz w:val="24"/>
        </w:rPr>
      </w:pPr>
    </w:p>
    <w:p w14:paraId="2CFF8A30">
      <w:pPr>
        <w:pStyle w:val="14"/>
        <w:adjustRightInd/>
        <w:spacing w:line="576" w:lineRule="exact"/>
        <w:rPr>
          <w:rFonts w:hint="eastAsia" w:ascii="方正小标宋简体" w:hAnsi="方正小标宋简体" w:eastAsia="方正小标宋简体" w:cs="方正小标宋简体"/>
          <w:b w:val="0"/>
          <w:bCs w:val="0"/>
          <w:kern w:val="44"/>
          <w:sz w:val="44"/>
          <w:szCs w:val="44"/>
          <w:highlight w:val="none"/>
          <w:lang w:val="zh-CN"/>
        </w:rPr>
      </w:pPr>
      <w:r>
        <w:rPr>
          <w:rFonts w:hint="eastAsia" w:ascii="方正小标宋简体" w:hAnsi="方正小标宋简体" w:eastAsia="方正小标宋简体" w:cs="方正小标宋简体"/>
          <w:b w:val="0"/>
          <w:bCs w:val="0"/>
          <w:kern w:val="44"/>
          <w:sz w:val="44"/>
          <w:szCs w:val="44"/>
          <w:highlight w:val="none"/>
          <w:lang w:val="zh-CN"/>
        </w:rPr>
        <w:t>资格的声明函</w:t>
      </w:r>
    </w:p>
    <w:p w14:paraId="3F7CEA4B">
      <w:pPr>
        <w:pStyle w:val="6"/>
        <w:spacing w:line="576" w:lineRule="exact"/>
        <w:ind w:left="5250"/>
        <w:rPr>
          <w:rFonts w:hint="eastAsia" w:ascii="仿宋_GB2312" w:hAnsi="仿宋_GB2312" w:eastAsia="仿宋_GB2312" w:cs="仿宋_GB2312"/>
          <w:color w:val="auto"/>
          <w:sz w:val="24"/>
          <w:szCs w:val="24"/>
          <w:highlight w:val="none"/>
        </w:rPr>
      </w:pPr>
    </w:p>
    <w:p w14:paraId="38CD6CFC">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u w:val="single"/>
        </w:rPr>
        <w:t xml:space="preserve">                 </w:t>
      </w:r>
    </w:p>
    <w:p w14:paraId="4A7CCF46">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日期:</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1832FC6A">
      <w:pPr>
        <w:pStyle w:val="6"/>
        <w:spacing w:line="576" w:lineRule="exact"/>
        <w:ind w:left="5250"/>
        <w:rPr>
          <w:rFonts w:hint="eastAsia" w:ascii="仿宋_GB2312" w:hAnsi="仿宋_GB2312" w:eastAsia="仿宋_GB2312" w:cs="仿宋_GB2312"/>
          <w:color w:val="auto"/>
          <w:sz w:val="24"/>
          <w:szCs w:val="24"/>
          <w:highlight w:val="none"/>
        </w:rPr>
      </w:pPr>
    </w:p>
    <w:p w14:paraId="5CF9CB7A">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致: </w:t>
      </w:r>
      <w:r>
        <w:rPr>
          <w:rFonts w:hint="eastAsia" w:ascii="仿宋_GB2312" w:hAnsi="仿宋_GB2312" w:eastAsia="仿宋_GB2312" w:cs="仿宋_GB2312"/>
          <w:color w:val="auto"/>
          <w:sz w:val="24"/>
          <w:szCs w:val="24"/>
          <w:highlight w:val="none"/>
          <w:u w:val="single"/>
        </w:rPr>
        <w:t xml:space="preserve">                         </w:t>
      </w:r>
    </w:p>
    <w:p w14:paraId="6CE2E01C">
      <w:pPr>
        <w:spacing w:line="576" w:lineRule="exact"/>
        <w:rPr>
          <w:rFonts w:hint="eastAsia" w:ascii="仿宋_GB2312" w:hAnsi="仿宋_GB2312" w:eastAsia="仿宋_GB2312" w:cs="仿宋_GB2312"/>
          <w:color w:val="auto"/>
          <w:sz w:val="24"/>
          <w:szCs w:val="24"/>
          <w:highlight w:val="none"/>
        </w:rPr>
      </w:pPr>
    </w:p>
    <w:p w14:paraId="632EC2E9">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我公司</w:t>
      </w:r>
      <w:r>
        <w:rPr>
          <w:rFonts w:hint="eastAsia" w:ascii="仿宋_GB2312" w:hAnsi="仿宋_GB2312" w:eastAsia="仿宋_GB2312" w:cs="仿宋_GB2312"/>
          <w:color w:val="auto"/>
          <w:sz w:val="24"/>
          <w:szCs w:val="24"/>
          <w:highlight w:val="none"/>
          <w:lang w:val="en-US" w:eastAsia="zh-CN"/>
        </w:rPr>
        <w:t>自愿</w:t>
      </w:r>
      <w:r>
        <w:rPr>
          <w:rFonts w:hint="eastAsia" w:ascii="仿宋_GB2312" w:hAnsi="仿宋_GB2312" w:eastAsia="仿宋_GB2312" w:cs="仿宋_GB2312"/>
          <w:color w:val="auto"/>
          <w:sz w:val="24"/>
          <w:szCs w:val="24"/>
          <w:highlight w:val="none"/>
        </w:rPr>
        <w:t>针对上述项目进行</w:t>
      </w:r>
      <w:r>
        <w:rPr>
          <w:rFonts w:hint="eastAsia" w:ascii="仿宋_GB2312" w:hAnsi="仿宋_GB2312" w:eastAsia="仿宋_GB2312" w:cs="仿宋_GB2312"/>
          <w:color w:val="auto"/>
          <w:sz w:val="24"/>
          <w:szCs w:val="24"/>
          <w:highlight w:val="none"/>
          <w:lang w:eastAsia="zh-CN"/>
        </w:rPr>
        <w:t>报价申请</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文件中所有关于</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人资格的文件、证明、陈述均是真实的、准确的。若有违背，我公司愿为由此而产生的一切后果负责。</w:t>
      </w:r>
    </w:p>
    <w:p w14:paraId="321AF6C8">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特此声明</w:t>
      </w:r>
      <w:r>
        <w:rPr>
          <w:rFonts w:hint="eastAsia" w:ascii="仿宋_GB2312" w:hAnsi="仿宋_GB2312" w:eastAsia="仿宋_GB2312" w:cs="仿宋_GB2312"/>
          <w:color w:val="auto"/>
          <w:sz w:val="24"/>
          <w:szCs w:val="24"/>
          <w:highlight w:val="none"/>
          <w:lang w:eastAsia="zh-CN"/>
        </w:rPr>
        <w:t>。</w:t>
      </w:r>
    </w:p>
    <w:p w14:paraId="64883E83">
      <w:pPr>
        <w:spacing w:line="576" w:lineRule="exact"/>
        <w:ind w:firstLine="4800" w:firstLineChars="20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人代表签字:</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5697FCAD">
      <w:pPr>
        <w:widowControl w:val="0"/>
        <w:autoSpaceDE w:val="0"/>
        <w:autoSpaceDN w:val="0"/>
        <w:spacing w:line="440" w:lineRule="exact"/>
        <w:ind w:firstLine="4800" w:firstLineChars="2000"/>
        <w:jc w:val="left"/>
        <w:rPr>
          <w:rFonts w:hint="eastAsia" w:ascii="仿宋_GB2312" w:hAnsi="仿宋_GB2312" w:eastAsia="仿宋_GB2312" w:cs="仿宋_GB2312"/>
          <w:sz w:val="24"/>
          <w:u w:val="none"/>
          <w:lang w:eastAsia="zh-CN"/>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人公章：</w:t>
      </w:r>
      <w:r>
        <w:rPr>
          <w:rFonts w:hint="eastAsia" w:ascii="仿宋_GB2312" w:hAnsi="仿宋_GB2312" w:eastAsia="仿宋_GB2312" w:cs="仿宋_GB2312"/>
          <w:b/>
          <w:color w:val="auto"/>
          <w:sz w:val="24"/>
          <w:szCs w:val="24"/>
          <w:highlight w:val="none"/>
          <w:u w:val="single"/>
          <w:lang w:eastAsia="zh-CN"/>
        </w:rPr>
        <w:t xml:space="preserve"> </w:t>
      </w:r>
      <w:r>
        <w:rPr>
          <w:rFonts w:hint="eastAsia" w:ascii="仿宋_GB2312" w:hAnsi="仿宋_GB2312" w:eastAsia="仿宋_GB2312" w:cs="仿宋_GB2312"/>
          <w:b/>
          <w:color w:val="auto"/>
          <w:sz w:val="24"/>
          <w:szCs w:val="24"/>
          <w:highlight w:val="none"/>
          <w:u w:val="single"/>
          <w:lang w:val="en-US" w:eastAsia="zh-CN"/>
        </w:rPr>
        <w:t xml:space="preserve">                                </w:t>
      </w:r>
    </w:p>
    <w:p w14:paraId="5D0B62CA">
      <w:pPr>
        <w:widowControl w:val="0"/>
        <w:autoSpaceDE w:val="0"/>
        <w:autoSpaceDN w:val="0"/>
        <w:spacing w:line="440" w:lineRule="exact"/>
        <w:ind w:firstLine="4800" w:firstLineChars="2000"/>
        <w:jc w:val="left"/>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u w:val="none"/>
          <w:lang w:eastAsia="zh-CN"/>
        </w:rPr>
        <w:t>澄清文件收发邮箱地址：</w:t>
      </w:r>
      <w:r>
        <w:rPr>
          <w:rFonts w:hint="eastAsia" w:ascii="仿宋_GB2312" w:hAnsi="仿宋_GB2312" w:eastAsia="仿宋_GB2312" w:cs="仿宋_GB2312"/>
          <w:sz w:val="24"/>
          <w:u w:val="single"/>
          <w:lang w:val="en-US" w:eastAsia="zh-CN"/>
        </w:rPr>
        <w:t xml:space="preserve">                        </w:t>
      </w:r>
    </w:p>
    <w:p w14:paraId="5BFA112D">
      <w:pPr>
        <w:pStyle w:val="11"/>
        <w:ind w:firstLine="4800" w:firstLineChars="2000"/>
        <w:rPr>
          <w:rFonts w:hint="eastAsia" w:ascii="仿宋_GB2312" w:hAnsi="仿宋_GB2312" w:eastAsia="仿宋_GB2312" w:cs="仿宋_GB2312"/>
          <w:sz w:val="24"/>
        </w:rPr>
      </w:pPr>
      <w:r>
        <w:rPr>
          <w:rFonts w:hint="eastAsia" w:ascii="仿宋_GB2312" w:hAnsi="仿宋_GB2312" w:eastAsia="仿宋_GB2312" w:cs="仿宋_GB2312"/>
          <w:bCs w:val="0"/>
          <w:spacing w:val="0"/>
          <w:kern w:val="2"/>
          <w:sz w:val="24"/>
          <w:u w:val="none"/>
          <w:lang w:val="en-US" w:eastAsia="zh-CN"/>
        </w:rPr>
        <w:t>送达地址：</w:t>
      </w:r>
      <w:r>
        <w:rPr>
          <w:rFonts w:hint="eastAsia" w:ascii="仿宋_GB2312" w:hAnsi="仿宋_GB2312" w:eastAsia="仿宋_GB2312" w:cs="仿宋_GB2312"/>
          <w:bCs w:val="0"/>
          <w:spacing w:val="0"/>
          <w:kern w:val="2"/>
          <w:sz w:val="24"/>
          <w:u w:val="single"/>
          <w:lang w:val="en-US" w:eastAsia="zh-CN"/>
        </w:rPr>
        <w:t xml:space="preserve">  （中选后合同及合同履行资料邮寄地址</w:t>
      </w:r>
      <w:r>
        <w:rPr>
          <w:rFonts w:hint="eastAsia" w:ascii="仿宋_GB2312" w:hAnsi="仿宋_GB2312" w:eastAsia="仿宋_GB2312" w:cs="仿宋_GB2312"/>
          <w:bCs w:val="0"/>
          <w:spacing w:val="0"/>
          <w:kern w:val="2"/>
          <w:sz w:val="24"/>
          <w:u w:val="none"/>
          <w:lang w:val="en-US" w:eastAsia="zh-CN"/>
        </w:rPr>
        <w:t>）</w:t>
      </w:r>
    </w:p>
    <w:p w14:paraId="775BD2DC">
      <w:pPr>
        <w:rPr>
          <w:rFonts w:hint="default"/>
          <w:lang w:val="zh-CN" w:eastAsia="zh-CN"/>
        </w:rPr>
      </w:pPr>
    </w:p>
    <w:p w14:paraId="70CD1F57">
      <w:pPr>
        <w:pStyle w:val="11"/>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4D690E27"/>
    <w:p w14:paraId="081CCC5B">
      <w:pPr>
        <w:spacing w:line="576" w:lineRule="exact"/>
        <w:jc w:val="both"/>
        <w:rPr>
          <w:rFonts w:hint="eastAsia" w:ascii="Times New Roman" w:hAnsi="Times New Roman" w:eastAsia="宋体" w:cs="Times New Roman"/>
          <w:b/>
          <w:bCs w:val="0"/>
          <w:kern w:val="0"/>
          <w:sz w:val="21"/>
          <w:szCs w:val="24"/>
          <w:highlight w:val="none"/>
          <w:lang w:val="zh-CN"/>
        </w:rPr>
      </w:pPr>
    </w:p>
    <w:p w14:paraId="1755C957">
      <w:pPr>
        <w:spacing w:line="576" w:lineRule="exact"/>
        <w:jc w:val="both"/>
        <w:rPr>
          <w:rFonts w:hint="eastAsia" w:ascii="Times New Roman" w:hAnsi="Times New Roman" w:eastAsia="宋体" w:cs="Times New Roman"/>
          <w:b/>
          <w:bCs w:val="0"/>
          <w:kern w:val="0"/>
          <w:sz w:val="21"/>
          <w:szCs w:val="24"/>
          <w:highlight w:val="none"/>
          <w:lang w:val="zh-CN"/>
        </w:rPr>
      </w:pPr>
    </w:p>
    <w:p w14:paraId="1BC52D3B">
      <w:pPr>
        <w:spacing w:line="576" w:lineRule="exact"/>
        <w:jc w:val="both"/>
        <w:rPr>
          <w:rFonts w:hint="eastAsia" w:ascii="Times New Roman" w:hAnsi="Times New Roman" w:eastAsia="宋体" w:cs="Times New Roman"/>
          <w:b/>
          <w:bCs w:val="0"/>
          <w:kern w:val="0"/>
          <w:sz w:val="21"/>
          <w:szCs w:val="24"/>
          <w:highlight w:val="none"/>
          <w:lang w:val="zh-CN"/>
        </w:rPr>
      </w:pPr>
    </w:p>
    <w:p w14:paraId="678C8C92">
      <w:pPr>
        <w:spacing w:line="576" w:lineRule="exact"/>
        <w:jc w:val="both"/>
        <w:rPr>
          <w:rFonts w:hint="eastAsia" w:ascii="Times New Roman" w:hAnsi="Times New Roman" w:eastAsia="宋体" w:cs="Times New Roman"/>
          <w:b/>
          <w:bCs w:val="0"/>
          <w:kern w:val="0"/>
          <w:sz w:val="21"/>
          <w:szCs w:val="24"/>
          <w:highlight w:val="none"/>
          <w:lang w:val="zh-CN"/>
        </w:rPr>
      </w:pPr>
    </w:p>
    <w:p w14:paraId="38DBEAE1">
      <w:pPr>
        <w:spacing w:line="576" w:lineRule="exact"/>
        <w:jc w:val="both"/>
        <w:rPr>
          <w:rFonts w:hint="eastAsia" w:ascii="Times New Roman" w:hAnsi="Times New Roman" w:eastAsia="宋体" w:cs="Times New Roman"/>
          <w:b/>
          <w:bCs w:val="0"/>
          <w:kern w:val="0"/>
          <w:sz w:val="21"/>
          <w:szCs w:val="24"/>
          <w:highlight w:val="none"/>
          <w:lang w:val="zh-CN"/>
        </w:rPr>
      </w:pPr>
    </w:p>
    <w:p w14:paraId="362EBD45">
      <w:pPr>
        <w:spacing w:line="576" w:lineRule="exact"/>
        <w:jc w:val="both"/>
        <w:rPr>
          <w:rFonts w:hint="eastAsia" w:ascii="Times New Roman" w:hAnsi="Times New Roman" w:eastAsia="宋体" w:cs="Times New Roman"/>
          <w:b/>
          <w:bCs w:val="0"/>
          <w:kern w:val="0"/>
          <w:sz w:val="21"/>
          <w:szCs w:val="24"/>
          <w:highlight w:val="none"/>
          <w:lang w:val="zh-CN"/>
        </w:rPr>
      </w:pPr>
    </w:p>
    <w:p w14:paraId="6D767EBD">
      <w:pPr>
        <w:spacing w:line="576" w:lineRule="exact"/>
        <w:jc w:val="both"/>
        <w:rPr>
          <w:rFonts w:hint="eastAsia" w:ascii="Times New Roman" w:hAnsi="Times New Roman" w:eastAsia="宋体" w:cs="Times New Roman"/>
          <w:b/>
          <w:bCs w:val="0"/>
          <w:kern w:val="0"/>
          <w:sz w:val="21"/>
          <w:szCs w:val="24"/>
          <w:highlight w:val="none"/>
          <w:lang w:val="zh-CN"/>
        </w:rPr>
      </w:pPr>
    </w:p>
    <w:p w14:paraId="053CD217">
      <w:pPr>
        <w:spacing w:line="576" w:lineRule="exact"/>
        <w:jc w:val="both"/>
        <w:rPr>
          <w:rFonts w:hint="eastAsia" w:ascii="Times New Roman" w:hAnsi="Times New Roman" w:eastAsia="宋体" w:cs="Times New Roman"/>
          <w:b/>
          <w:bCs w:val="0"/>
          <w:kern w:val="0"/>
          <w:sz w:val="21"/>
          <w:szCs w:val="24"/>
          <w:highlight w:val="none"/>
          <w:lang w:val="zh-CN"/>
        </w:rPr>
      </w:pPr>
    </w:p>
    <w:p w14:paraId="2D5C7952">
      <w:pPr>
        <w:spacing w:line="576" w:lineRule="exact"/>
        <w:jc w:val="both"/>
        <w:rPr>
          <w:rFonts w:hint="eastAsia" w:ascii="Times New Roman" w:hAnsi="Times New Roman" w:eastAsia="宋体" w:cs="Times New Roman"/>
          <w:b/>
          <w:bCs w:val="0"/>
          <w:kern w:val="0"/>
          <w:sz w:val="21"/>
          <w:szCs w:val="24"/>
          <w:highlight w:val="none"/>
          <w:lang w:val="zh-CN"/>
        </w:rPr>
      </w:pPr>
    </w:p>
    <w:p w14:paraId="2B704C19">
      <w:pPr>
        <w:rPr>
          <w:rFonts w:hint="eastAsia"/>
          <w:b/>
          <w:bCs w:val="0"/>
          <w:lang w:eastAsia="zh-CN"/>
        </w:rPr>
      </w:pPr>
      <w:r>
        <w:rPr>
          <w:rFonts w:hint="eastAsia"/>
          <w:b/>
          <w:bCs w:val="0"/>
          <w:lang w:eastAsia="zh-CN"/>
        </w:rPr>
        <w:br w:type="page"/>
      </w:r>
    </w:p>
    <w:p w14:paraId="035CFDF2">
      <w:pPr>
        <w:pStyle w:val="11"/>
        <w:rPr>
          <w:rFonts w:hint="eastAsia"/>
          <w:b/>
          <w:bCs w:val="0"/>
          <w:lang w:eastAsia="zh-CN"/>
        </w:rPr>
      </w:pPr>
      <w:r>
        <w:rPr>
          <w:rFonts w:hint="eastAsia"/>
          <w:b/>
          <w:bCs w:val="0"/>
          <w:lang w:eastAsia="zh-CN"/>
        </w:rPr>
        <w:t>附件</w:t>
      </w:r>
      <w:r>
        <w:rPr>
          <w:rFonts w:hint="eastAsia"/>
          <w:b/>
          <w:bCs w:val="0"/>
          <w:lang w:val="en-US" w:eastAsia="zh-CN"/>
        </w:rPr>
        <w:t>6</w:t>
      </w:r>
      <w:r>
        <w:rPr>
          <w:rFonts w:hint="eastAsia"/>
          <w:b/>
          <w:bCs w:val="0"/>
          <w:lang w:eastAsia="zh-CN"/>
        </w:rPr>
        <w:t>：</w:t>
      </w:r>
    </w:p>
    <w:p w14:paraId="46EE1E26">
      <w:pPr>
        <w:pStyle w:val="11"/>
        <w:jc w:val="center"/>
        <w:rPr>
          <w:rFonts w:hint="eastAsia"/>
          <w:b/>
          <w:bCs w:val="0"/>
          <w:lang w:val="en-US" w:eastAsia="zh-CN"/>
        </w:rPr>
      </w:pPr>
    </w:p>
    <w:p w14:paraId="41E82097">
      <w:pPr>
        <w:pStyle w:val="11"/>
        <w:jc w:val="center"/>
        <w:rPr>
          <w:rFonts w:hint="default"/>
          <w:b/>
          <w:bCs w:val="0"/>
          <w:lang w:val="en-US" w:eastAsia="zh-CN"/>
        </w:rPr>
      </w:pPr>
      <w:r>
        <w:rPr>
          <w:rFonts w:hint="eastAsia"/>
          <w:b/>
          <w:bCs w:val="0"/>
          <w:lang w:val="en-US" w:eastAsia="zh-CN"/>
        </w:rPr>
        <w:t>供货清单表</w:t>
      </w:r>
    </w:p>
    <w:tbl>
      <w:tblPr>
        <w:tblStyle w:val="7"/>
        <w:tblW w:w="9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8"/>
        <w:gridCol w:w="1302"/>
        <w:gridCol w:w="4880"/>
        <w:gridCol w:w="600"/>
        <w:gridCol w:w="730"/>
        <w:gridCol w:w="720"/>
        <w:gridCol w:w="552"/>
      </w:tblGrid>
      <w:tr w14:paraId="110CE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039E52DA">
            <w:pPr>
              <w:widowControl/>
              <w:jc w:val="center"/>
              <w:textAlignment w:val="center"/>
              <w:rPr>
                <w:rFonts w:hint="eastAsia" w:ascii="宋体" w:hAnsi="宋体" w:eastAsia="宋体" w:cs="宋体"/>
                <w:b/>
                <w:bCs/>
                <w:sz w:val="18"/>
                <w:szCs w:val="18"/>
              </w:rPr>
            </w:pPr>
            <w:r>
              <w:rPr>
                <w:rFonts w:hint="eastAsia" w:ascii="宋体" w:hAnsi="宋体" w:eastAsia="宋体" w:cs="宋体"/>
                <w:b/>
                <w:bCs/>
                <w:kern w:val="0"/>
                <w:sz w:val="18"/>
                <w:szCs w:val="18"/>
                <w:lang w:bidi="ar"/>
              </w:rPr>
              <w:t>序号</w:t>
            </w:r>
          </w:p>
        </w:tc>
        <w:tc>
          <w:tcPr>
            <w:tcW w:w="1302" w:type="dxa"/>
            <w:noWrap/>
            <w:vAlign w:val="center"/>
          </w:tcPr>
          <w:p w14:paraId="2DF9A37C">
            <w:pPr>
              <w:widowControl/>
              <w:jc w:val="center"/>
              <w:textAlignment w:val="center"/>
              <w:rPr>
                <w:rFonts w:hint="eastAsia" w:ascii="宋体" w:hAnsi="宋体" w:eastAsia="宋体" w:cs="宋体"/>
                <w:b/>
                <w:bCs/>
                <w:sz w:val="18"/>
                <w:szCs w:val="18"/>
              </w:rPr>
            </w:pPr>
            <w:r>
              <w:rPr>
                <w:rFonts w:hint="eastAsia" w:ascii="宋体" w:hAnsi="宋体" w:eastAsia="宋体" w:cs="宋体"/>
                <w:b/>
                <w:bCs/>
                <w:kern w:val="0"/>
                <w:sz w:val="18"/>
                <w:szCs w:val="18"/>
                <w:lang w:bidi="ar"/>
              </w:rPr>
              <w:t>项目名称</w:t>
            </w:r>
          </w:p>
        </w:tc>
        <w:tc>
          <w:tcPr>
            <w:tcW w:w="4880" w:type="dxa"/>
            <w:noWrap/>
            <w:vAlign w:val="center"/>
          </w:tcPr>
          <w:p w14:paraId="6DDF2C3B">
            <w:pPr>
              <w:widowControl/>
              <w:jc w:val="center"/>
              <w:textAlignment w:val="center"/>
              <w:rPr>
                <w:rFonts w:hint="eastAsia" w:ascii="宋体" w:hAnsi="宋体" w:eastAsia="宋体" w:cs="宋体"/>
                <w:b/>
                <w:bCs/>
                <w:sz w:val="18"/>
                <w:szCs w:val="18"/>
              </w:rPr>
            </w:pPr>
            <w:r>
              <w:rPr>
                <w:rFonts w:hint="eastAsia" w:ascii="宋体" w:hAnsi="宋体" w:eastAsia="宋体" w:cs="宋体"/>
                <w:b/>
                <w:bCs/>
                <w:kern w:val="0"/>
                <w:sz w:val="18"/>
                <w:szCs w:val="18"/>
                <w:lang w:bidi="ar"/>
              </w:rPr>
              <w:t>规格参数</w:t>
            </w:r>
          </w:p>
        </w:tc>
        <w:tc>
          <w:tcPr>
            <w:tcW w:w="600" w:type="dxa"/>
            <w:noWrap/>
            <w:vAlign w:val="center"/>
          </w:tcPr>
          <w:p w14:paraId="34E8A1C4">
            <w:pPr>
              <w:widowControl/>
              <w:jc w:val="center"/>
              <w:textAlignment w:val="center"/>
              <w:rPr>
                <w:rFonts w:hint="eastAsia" w:ascii="宋体" w:hAnsi="宋体" w:eastAsia="宋体" w:cs="宋体"/>
                <w:b/>
                <w:bCs/>
                <w:sz w:val="18"/>
                <w:szCs w:val="18"/>
              </w:rPr>
            </w:pPr>
            <w:r>
              <w:rPr>
                <w:rFonts w:hint="eastAsia" w:ascii="宋体" w:hAnsi="宋体" w:eastAsia="宋体" w:cs="宋体"/>
                <w:b/>
                <w:bCs/>
                <w:kern w:val="0"/>
                <w:sz w:val="18"/>
                <w:szCs w:val="18"/>
                <w:lang w:bidi="ar"/>
              </w:rPr>
              <w:t>单位</w:t>
            </w:r>
          </w:p>
        </w:tc>
        <w:tc>
          <w:tcPr>
            <w:tcW w:w="730" w:type="dxa"/>
            <w:noWrap/>
            <w:vAlign w:val="center"/>
          </w:tcPr>
          <w:p w14:paraId="631ADDAE">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数量</w:t>
            </w:r>
          </w:p>
        </w:tc>
        <w:tc>
          <w:tcPr>
            <w:tcW w:w="720" w:type="dxa"/>
            <w:noWrap/>
            <w:vAlign w:val="center"/>
          </w:tcPr>
          <w:p w14:paraId="41B094D7">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品牌</w:t>
            </w:r>
          </w:p>
        </w:tc>
        <w:tc>
          <w:tcPr>
            <w:tcW w:w="552" w:type="dxa"/>
            <w:noWrap/>
            <w:vAlign w:val="center"/>
          </w:tcPr>
          <w:p w14:paraId="3F007A87">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备注</w:t>
            </w:r>
          </w:p>
        </w:tc>
      </w:tr>
      <w:tr w14:paraId="3F600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0EC9A066">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sz w:val="20"/>
                <w:szCs w:val="20"/>
              </w:rPr>
              <w:t>1</w:t>
            </w:r>
          </w:p>
        </w:tc>
        <w:tc>
          <w:tcPr>
            <w:tcW w:w="1302" w:type="dxa"/>
            <w:noWrap w:val="0"/>
            <w:vAlign w:val="center"/>
          </w:tcPr>
          <w:p w14:paraId="1CEEE13E">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定位型测温光纤处理器</w:t>
            </w:r>
          </w:p>
        </w:tc>
        <w:tc>
          <w:tcPr>
            <w:tcW w:w="4880" w:type="dxa"/>
            <w:noWrap w:val="0"/>
            <w:vAlign w:val="center"/>
          </w:tcPr>
          <w:p w14:paraId="098DA374">
            <w:pPr>
              <w:widowControl/>
              <w:spacing w:line="240" w:lineRule="auto"/>
              <w:jc w:val="left"/>
              <w:textAlignment w:val="center"/>
              <w:rPr>
                <w:rFonts w:hint="eastAsia" w:ascii="宋体" w:hAnsi="宋体" w:eastAsia="宋体" w:cs="宋体"/>
                <w:sz w:val="22"/>
                <w:szCs w:val="28"/>
              </w:rPr>
            </w:pP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1.定位精度性能</w:t>
            </w:r>
            <w:r>
              <w:rPr>
                <w:rFonts w:hint="eastAsia" w:ascii="宋体" w:hAnsi="宋体" w:eastAsia="宋体" w:cs="宋体"/>
                <w:color w:val="000000"/>
                <w:kern w:val="0"/>
                <w:sz w:val="18"/>
                <w:szCs w:val="18"/>
                <w:lang w:val="en-US" w:eastAsia="zh-CN" w:bidi="ar"/>
              </w:rPr>
              <w:t>高</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广泛匹配小空间测温应用。</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2.3U机架式4通道测温光纤主机</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整机采用短机箱设计</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搭载光学一体化模块。</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3.支持开放型网络接口</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OTAP</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MODBUS协议接入、支持防雷、防浪涌、防静电、支持Class 1级激光安全等级。</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4.支持同时监测多点温度报警、支持定温、温升及温差报警、支持上传报警类型、温度等信息。</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5.系统符合自我检测故障并指示</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且当供电恢复后可自动恢复到上次正常状态。</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 xml:space="preserve">6.温度分辨率：≤0.1°C  </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定位精度（检测结果）：同一个位置多次模拟触发定温报警</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对应测温主机的多次定位位置最大偏差≤±0.4m。（需提供委托检测报告）</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7.系统支持3类报警模式：（1）定温报警：系统开启定温报警后</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可设置分区定温报警值</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当监测温度超过报警设定值时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触发报警；（2）温升报警：系统开启温升速率报警后</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可设置分区温升速率报警值</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当监测温升速率变化超过设定值时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触发报警；（3）温差报警：系统开启温差报警后</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可设置分区温升报警值</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当温度最高值和平均值的差值超过设定值时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触发报警。（需提供委托检测报告）</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8.测温精度：测量距离满足≤3km</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≤±0.5°C；测量距离满足＞3km且≤10km</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≤±1°C。（需提供委托检测报告）</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9.单通道探测距离≤3km时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空间分辨率≤0.2m。（需提供委托检测报告）</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10.客户端软件支持记录产生日志</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包括报警日志、操作日志、异常日志、事件日志等。日志信息中包括日志类型、时间、操作用户、关键信息等。支持日志的检索与导出。</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11.恒定湿热试验：测温主机：（40±2）℃、R相对湿度（93±2）%、48h</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试验期间功能正常；测温光缆：（40±2）℃、R相对湿度（93±2）%、48h</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试验期间功能正常。</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12.防凝露试验：（5±2）°C</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RH（95±2）%</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6h</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试验后测温主机箱体外表面无明显凝露产生</w:t>
            </w:r>
          </w:p>
        </w:tc>
        <w:tc>
          <w:tcPr>
            <w:tcW w:w="600" w:type="dxa"/>
            <w:noWrap w:val="0"/>
            <w:vAlign w:val="center"/>
          </w:tcPr>
          <w:p w14:paraId="677BF5CC">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台</w:t>
            </w:r>
          </w:p>
        </w:tc>
        <w:tc>
          <w:tcPr>
            <w:tcW w:w="730" w:type="dxa"/>
            <w:noWrap w:val="0"/>
            <w:vAlign w:val="center"/>
          </w:tcPr>
          <w:p w14:paraId="0A58D11F">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1</w:t>
            </w:r>
          </w:p>
        </w:tc>
        <w:tc>
          <w:tcPr>
            <w:tcW w:w="720" w:type="dxa"/>
            <w:noWrap w:val="0"/>
            <w:vAlign w:val="center"/>
          </w:tcPr>
          <w:p w14:paraId="62A2A22D">
            <w:pPr>
              <w:widowControl/>
              <w:spacing w:line="240" w:lineRule="auto"/>
              <w:jc w:val="left"/>
              <w:textAlignment w:val="center"/>
              <w:rPr>
                <w:rFonts w:hint="eastAsia" w:ascii="宋体" w:hAnsi="宋体" w:eastAsia="宋体" w:cs="宋体"/>
                <w:kern w:val="0"/>
                <w:sz w:val="20"/>
                <w:szCs w:val="20"/>
                <w:lang w:bidi="ar"/>
              </w:rPr>
            </w:pPr>
          </w:p>
        </w:tc>
        <w:tc>
          <w:tcPr>
            <w:tcW w:w="552" w:type="dxa"/>
            <w:noWrap w:val="0"/>
            <w:vAlign w:val="center"/>
          </w:tcPr>
          <w:p w14:paraId="485B962D">
            <w:pPr>
              <w:widowControl/>
              <w:spacing w:line="240" w:lineRule="auto"/>
              <w:jc w:val="center"/>
              <w:textAlignment w:val="center"/>
              <w:rPr>
                <w:rFonts w:hint="eastAsia" w:ascii="宋体" w:hAnsi="宋体" w:eastAsia="宋体" w:cs="宋体"/>
                <w:kern w:val="0"/>
                <w:sz w:val="20"/>
                <w:szCs w:val="20"/>
                <w:lang w:bidi="ar"/>
              </w:rPr>
            </w:pPr>
          </w:p>
        </w:tc>
      </w:tr>
      <w:tr w14:paraId="5D68D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6FEC4131">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sz w:val="20"/>
                <w:szCs w:val="20"/>
              </w:rPr>
              <w:t>2</w:t>
            </w:r>
          </w:p>
        </w:tc>
        <w:tc>
          <w:tcPr>
            <w:tcW w:w="1302" w:type="dxa"/>
            <w:noWrap w:val="0"/>
            <w:vAlign w:val="center"/>
          </w:tcPr>
          <w:p w14:paraId="3F6976AC">
            <w:pPr>
              <w:widowControl/>
              <w:spacing w:line="240" w:lineRule="auto"/>
              <w:jc w:val="left"/>
              <w:textAlignment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感温光缆</w:t>
            </w:r>
          </w:p>
        </w:tc>
        <w:tc>
          <w:tcPr>
            <w:tcW w:w="4880" w:type="dxa"/>
            <w:noWrap w:val="0"/>
            <w:vAlign w:val="center"/>
          </w:tcPr>
          <w:p w14:paraId="61229F72">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1. 温敏探测光缆</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光纤≥2芯</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采用GI 62.5/125μm 圆形渐变折射率多模光纤</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紧套材料采用LSZH</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铠管材质采用SUS 200CU</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抗拉元件采用芳纶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编织材质采用SUS304</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外护套材质采用LSZH</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光缆外径≥3.3mm</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防护等级IP68。</w:t>
            </w:r>
          </w:p>
        </w:tc>
        <w:tc>
          <w:tcPr>
            <w:tcW w:w="600" w:type="dxa"/>
            <w:noWrap w:val="0"/>
            <w:vAlign w:val="center"/>
          </w:tcPr>
          <w:p w14:paraId="331485FA">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米</w:t>
            </w:r>
          </w:p>
        </w:tc>
        <w:tc>
          <w:tcPr>
            <w:tcW w:w="730" w:type="dxa"/>
            <w:noWrap w:val="0"/>
            <w:vAlign w:val="center"/>
          </w:tcPr>
          <w:p w14:paraId="2449D636">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3</w:t>
            </w:r>
            <w:r>
              <w:rPr>
                <w:rFonts w:hint="eastAsia" w:ascii="宋体" w:hAnsi="宋体" w:cs="宋体"/>
                <w:color w:val="000000"/>
                <w:kern w:val="0"/>
                <w:sz w:val="18"/>
                <w:szCs w:val="18"/>
                <w:lang w:val="en-US" w:eastAsia="zh-CN" w:bidi="ar"/>
              </w:rPr>
              <w:t>0</w:t>
            </w:r>
            <w:r>
              <w:rPr>
                <w:rFonts w:hint="eastAsia" w:ascii="宋体" w:hAnsi="宋体" w:eastAsia="宋体" w:cs="宋体"/>
                <w:color w:val="000000"/>
                <w:kern w:val="0"/>
                <w:sz w:val="18"/>
                <w:szCs w:val="18"/>
                <w:lang w:bidi="ar"/>
              </w:rPr>
              <w:t>00</w:t>
            </w:r>
          </w:p>
        </w:tc>
        <w:tc>
          <w:tcPr>
            <w:tcW w:w="720" w:type="dxa"/>
            <w:noWrap w:val="0"/>
            <w:vAlign w:val="center"/>
          </w:tcPr>
          <w:p w14:paraId="19C5879D">
            <w:pPr>
              <w:widowControl/>
              <w:spacing w:line="240" w:lineRule="auto"/>
              <w:jc w:val="left"/>
              <w:textAlignment w:val="center"/>
              <w:rPr>
                <w:rFonts w:hint="eastAsia" w:ascii="宋体" w:hAnsi="宋体" w:eastAsia="宋体" w:cs="宋体"/>
                <w:kern w:val="0"/>
                <w:sz w:val="20"/>
                <w:szCs w:val="20"/>
                <w:lang w:bidi="ar"/>
              </w:rPr>
            </w:pPr>
          </w:p>
        </w:tc>
        <w:tc>
          <w:tcPr>
            <w:tcW w:w="552" w:type="dxa"/>
            <w:noWrap w:val="0"/>
            <w:vAlign w:val="center"/>
          </w:tcPr>
          <w:p w14:paraId="3265A235">
            <w:pPr>
              <w:widowControl/>
              <w:spacing w:line="240" w:lineRule="auto"/>
              <w:jc w:val="center"/>
              <w:textAlignment w:val="center"/>
              <w:rPr>
                <w:rFonts w:hint="eastAsia" w:ascii="宋体" w:hAnsi="宋体" w:eastAsia="宋体" w:cs="宋体"/>
                <w:kern w:val="0"/>
                <w:sz w:val="20"/>
                <w:szCs w:val="20"/>
                <w:lang w:eastAsia="zh" w:bidi="ar"/>
              </w:rPr>
            </w:pPr>
            <w:r>
              <w:rPr>
                <w:rFonts w:hint="eastAsia" w:ascii="宋体" w:hAnsi="宋体" w:cs="宋体"/>
                <w:kern w:val="0"/>
                <w:sz w:val="20"/>
                <w:szCs w:val="20"/>
                <w:highlight w:val="none"/>
                <w:lang w:eastAsia="zh" w:bidi="ar"/>
              </w:rPr>
              <w:t>以现场需求为准</w:t>
            </w:r>
          </w:p>
        </w:tc>
      </w:tr>
      <w:tr w14:paraId="18A1D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76DA1A6D">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3</w:t>
            </w:r>
          </w:p>
        </w:tc>
        <w:tc>
          <w:tcPr>
            <w:tcW w:w="1302" w:type="dxa"/>
            <w:noWrap w:val="0"/>
            <w:vAlign w:val="center"/>
          </w:tcPr>
          <w:p w14:paraId="18194F84">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光纤箱</w:t>
            </w:r>
          </w:p>
        </w:tc>
        <w:tc>
          <w:tcPr>
            <w:tcW w:w="4880" w:type="dxa"/>
            <w:noWrap w:val="0"/>
            <w:vAlign w:val="center"/>
          </w:tcPr>
          <w:p w14:paraId="3A4EE339">
            <w:pPr>
              <w:widowControl/>
              <w:spacing w:line="240" w:lineRule="auto"/>
              <w:jc w:val="left"/>
              <w:textAlignment w:val="center"/>
              <w:rPr>
                <w:rFonts w:hint="eastAsia" w:ascii="宋体" w:hAnsi="宋体" w:eastAsia="宋体" w:cs="宋体"/>
                <w:sz w:val="22"/>
                <w:szCs w:val="28"/>
              </w:rPr>
            </w:pPr>
            <w:r>
              <w:rPr>
                <w:rStyle w:val="16"/>
                <w:rFonts w:hint="eastAsia" w:ascii="宋体" w:hAnsi="宋体" w:eastAsia="宋体" w:cs="宋体"/>
                <w:sz w:val="18"/>
                <w:szCs w:val="18"/>
                <w:lang w:bidi="ar"/>
              </w:rPr>
              <w:t>1、8口金属光纤终端盒</w:t>
            </w:r>
            <w:r>
              <w:rPr>
                <w:rStyle w:val="16"/>
                <w:rFonts w:hint="eastAsia" w:ascii="宋体" w:hAnsi="宋体" w:eastAsia="宋体" w:cs="宋体"/>
                <w:sz w:val="18"/>
                <w:szCs w:val="18"/>
                <w:lang w:eastAsia="zh-CN" w:bidi="ar"/>
              </w:rPr>
              <w:t>（</w:t>
            </w:r>
            <w:r>
              <w:rPr>
                <w:rStyle w:val="16"/>
                <w:rFonts w:hint="eastAsia" w:ascii="宋体" w:hAnsi="宋体" w:eastAsia="宋体" w:cs="宋体"/>
                <w:sz w:val="18"/>
                <w:szCs w:val="18"/>
                <w:lang w:bidi="ar"/>
              </w:rPr>
              <w:t>含熔纤盘</w:t>
            </w:r>
            <w:r>
              <w:rPr>
                <w:rStyle w:val="16"/>
                <w:rFonts w:hint="eastAsia" w:ascii="宋体" w:hAnsi="宋体" w:eastAsia="宋体" w:cs="宋体"/>
                <w:sz w:val="18"/>
                <w:szCs w:val="18"/>
                <w:lang w:eastAsia="zh-CN" w:bidi="ar"/>
              </w:rPr>
              <w:t>）</w:t>
            </w:r>
            <w:r>
              <w:rPr>
                <w:rStyle w:val="16"/>
                <w:rFonts w:hint="eastAsia" w:ascii="宋体" w:hAnsi="宋体" w:eastAsia="宋体" w:cs="宋体"/>
                <w:sz w:val="18"/>
                <w:szCs w:val="18"/>
                <w:lang w:bidi="ar"/>
              </w:rPr>
              <w:br w:type="textWrapping"/>
            </w:r>
            <w:r>
              <w:rPr>
                <w:rStyle w:val="16"/>
                <w:rFonts w:hint="eastAsia" w:ascii="宋体" w:hAnsi="宋体" w:eastAsia="宋体" w:cs="宋体"/>
                <w:sz w:val="18"/>
                <w:szCs w:val="18"/>
                <w:lang w:bidi="ar"/>
              </w:rPr>
              <w:t>2、兼容性：支持双工LC、单工SC、单工FC适配器安装</w:t>
            </w:r>
            <w:r>
              <w:rPr>
                <w:rStyle w:val="16"/>
                <w:rFonts w:hint="eastAsia" w:ascii="宋体" w:hAnsi="宋体" w:eastAsia="宋体" w:cs="宋体"/>
                <w:sz w:val="18"/>
                <w:szCs w:val="18"/>
                <w:lang w:eastAsia="zh-CN" w:bidi="ar"/>
              </w:rPr>
              <w:t>，</w:t>
            </w:r>
            <w:r>
              <w:rPr>
                <w:rStyle w:val="16"/>
                <w:rFonts w:hint="eastAsia" w:ascii="宋体" w:hAnsi="宋体" w:eastAsia="宋体" w:cs="宋体"/>
                <w:sz w:val="18"/>
                <w:szCs w:val="18"/>
                <w:lang w:bidi="ar"/>
              </w:rPr>
              <w:t>最多支持8个适配器安装；</w:t>
            </w:r>
            <w:r>
              <w:rPr>
                <w:rStyle w:val="16"/>
                <w:rFonts w:hint="eastAsia" w:ascii="宋体" w:hAnsi="宋体" w:eastAsia="宋体" w:cs="宋体"/>
                <w:sz w:val="18"/>
                <w:szCs w:val="18"/>
                <w:lang w:bidi="ar"/>
              </w:rPr>
              <w:br w:type="textWrapping"/>
            </w:r>
            <w:r>
              <w:rPr>
                <w:rStyle w:val="16"/>
                <w:rFonts w:hint="eastAsia" w:ascii="宋体" w:hAnsi="宋体" w:eastAsia="宋体" w:cs="宋体"/>
                <w:sz w:val="18"/>
                <w:szCs w:val="18"/>
                <w:lang w:bidi="ar"/>
              </w:rPr>
              <w:t>3、主要材料：冷轧板；</w:t>
            </w:r>
            <w:r>
              <w:rPr>
                <w:rStyle w:val="16"/>
                <w:rFonts w:hint="eastAsia" w:ascii="宋体" w:hAnsi="宋体" w:eastAsia="宋体" w:cs="宋体"/>
                <w:sz w:val="18"/>
                <w:szCs w:val="18"/>
                <w:lang w:bidi="ar"/>
              </w:rPr>
              <w:br w:type="textWrapping"/>
            </w:r>
            <w:r>
              <w:rPr>
                <w:rStyle w:val="16"/>
                <w:rFonts w:hint="eastAsia" w:ascii="宋体" w:hAnsi="宋体" w:eastAsia="宋体" w:cs="宋体"/>
                <w:sz w:val="18"/>
                <w:szCs w:val="18"/>
                <w:lang w:bidi="ar"/>
              </w:rPr>
              <w:t>4、尺寸：40*133*261mm（高*宽*深）</w:t>
            </w:r>
            <w:r>
              <w:rPr>
                <w:rStyle w:val="16"/>
                <w:rFonts w:hint="eastAsia" w:ascii="宋体" w:hAnsi="宋体" w:eastAsia="宋体" w:cs="宋体"/>
                <w:sz w:val="18"/>
                <w:szCs w:val="18"/>
                <w:lang w:bidi="ar"/>
              </w:rPr>
              <w:br w:type="textWrapping"/>
            </w:r>
            <w:r>
              <w:rPr>
                <w:rStyle w:val="16"/>
                <w:rFonts w:hint="eastAsia" w:ascii="宋体" w:hAnsi="宋体" w:eastAsia="宋体" w:cs="宋体"/>
                <w:sz w:val="18"/>
                <w:szCs w:val="18"/>
                <w:lang w:bidi="ar"/>
              </w:rPr>
              <w:t>5、颜色：黑色</w:t>
            </w:r>
          </w:p>
        </w:tc>
        <w:tc>
          <w:tcPr>
            <w:tcW w:w="600" w:type="dxa"/>
            <w:noWrap w:val="0"/>
            <w:vAlign w:val="center"/>
          </w:tcPr>
          <w:p w14:paraId="295E853E">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台</w:t>
            </w:r>
          </w:p>
        </w:tc>
        <w:tc>
          <w:tcPr>
            <w:tcW w:w="730" w:type="dxa"/>
            <w:vMerge w:val="restart"/>
            <w:noWrap w:val="0"/>
            <w:vAlign w:val="center"/>
          </w:tcPr>
          <w:p w14:paraId="2590A6F7">
            <w:pPr>
              <w:widowControl/>
              <w:spacing w:line="240" w:lineRule="auto"/>
              <w:jc w:val="center"/>
              <w:textAlignment w:val="center"/>
              <w:rPr>
                <w:rFonts w:hint="eastAsia" w:ascii="宋体" w:hAnsi="宋体" w:eastAsia="宋体" w:cs="宋体"/>
                <w:color w:val="000000"/>
                <w:kern w:val="0"/>
                <w:sz w:val="18"/>
                <w:szCs w:val="18"/>
                <w:lang w:bidi="ar"/>
              </w:rPr>
            </w:pPr>
          </w:p>
          <w:p w14:paraId="2B3BF4D3">
            <w:pPr>
              <w:widowControl/>
              <w:spacing w:line="240" w:lineRule="auto"/>
              <w:jc w:val="center"/>
              <w:textAlignment w:val="center"/>
              <w:rPr>
                <w:rFonts w:hint="eastAsia" w:ascii="宋体" w:hAnsi="宋体" w:eastAsia="宋体" w:cs="宋体"/>
                <w:kern w:val="0"/>
                <w:sz w:val="20"/>
                <w:szCs w:val="20"/>
                <w:lang w:val="en-US" w:eastAsia="zh-CN" w:bidi="ar"/>
              </w:rPr>
            </w:pPr>
            <w:r>
              <w:rPr>
                <w:rFonts w:hint="eastAsia" w:ascii="宋体" w:hAnsi="宋体" w:eastAsia="宋体" w:cs="宋体"/>
                <w:color w:val="000000"/>
                <w:kern w:val="0"/>
                <w:sz w:val="18"/>
                <w:szCs w:val="18"/>
                <w:lang w:val="en-US" w:eastAsia="zh-CN" w:bidi="ar"/>
              </w:rPr>
              <w:t>满足项目需求</w:t>
            </w:r>
          </w:p>
        </w:tc>
        <w:tc>
          <w:tcPr>
            <w:tcW w:w="720" w:type="dxa"/>
            <w:vMerge w:val="restart"/>
            <w:noWrap w:val="0"/>
            <w:vAlign w:val="center"/>
          </w:tcPr>
          <w:p w14:paraId="2213A175">
            <w:pPr>
              <w:widowControl/>
              <w:spacing w:line="240" w:lineRule="auto"/>
              <w:jc w:val="left"/>
              <w:textAlignment w:val="center"/>
              <w:rPr>
                <w:rFonts w:hint="eastAsia" w:ascii="宋体" w:hAnsi="宋体" w:eastAsia="宋体" w:cs="宋体"/>
                <w:kern w:val="0"/>
                <w:sz w:val="20"/>
                <w:szCs w:val="20"/>
                <w:lang w:bidi="ar"/>
              </w:rPr>
            </w:pPr>
          </w:p>
        </w:tc>
        <w:tc>
          <w:tcPr>
            <w:tcW w:w="552" w:type="dxa"/>
            <w:vMerge w:val="restart"/>
            <w:noWrap w:val="0"/>
            <w:vAlign w:val="center"/>
          </w:tcPr>
          <w:p w14:paraId="726600A2">
            <w:pPr>
              <w:widowControl/>
              <w:spacing w:line="240" w:lineRule="auto"/>
              <w:jc w:val="center"/>
              <w:textAlignment w:val="center"/>
              <w:rPr>
                <w:rFonts w:hint="eastAsia" w:ascii="宋体" w:hAnsi="宋体" w:eastAsia="宋体" w:cs="宋体"/>
                <w:kern w:val="0"/>
                <w:sz w:val="20"/>
                <w:szCs w:val="20"/>
                <w:lang w:bidi="ar"/>
              </w:rPr>
            </w:pPr>
          </w:p>
        </w:tc>
      </w:tr>
      <w:tr w14:paraId="33FAB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2610D95A">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4</w:t>
            </w:r>
          </w:p>
        </w:tc>
        <w:tc>
          <w:tcPr>
            <w:tcW w:w="1302" w:type="dxa"/>
            <w:noWrap w:val="0"/>
            <w:vAlign w:val="center"/>
          </w:tcPr>
          <w:p w14:paraId="275910D7">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光纤配件</w:t>
            </w:r>
          </w:p>
        </w:tc>
        <w:tc>
          <w:tcPr>
            <w:tcW w:w="4880" w:type="dxa"/>
            <w:noWrap w:val="0"/>
            <w:vAlign w:val="center"/>
          </w:tcPr>
          <w:p w14:paraId="2EDDFDA9">
            <w:pPr>
              <w:widowControl/>
              <w:spacing w:line="240" w:lineRule="auto"/>
              <w:jc w:val="left"/>
              <w:textAlignment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w:t>
            </w:r>
            <w:r>
              <w:rPr>
                <w:rFonts w:hint="eastAsia" w:ascii="宋体" w:hAnsi="宋体" w:eastAsia="宋体" w:cs="宋体"/>
                <w:color w:val="000000"/>
                <w:kern w:val="0"/>
                <w:sz w:val="18"/>
                <w:szCs w:val="18"/>
                <w:lang w:bidi="ar"/>
              </w:rPr>
              <w:t>工作温度：-40°~60°</w:t>
            </w:r>
            <w:r>
              <w:rPr>
                <w:rFonts w:hint="eastAsia" w:ascii="宋体" w:hAnsi="宋体" w:eastAsia="宋体" w:cs="宋体"/>
                <w:color w:val="000000"/>
                <w:kern w:val="0"/>
                <w:sz w:val="18"/>
                <w:szCs w:val="18"/>
                <w:lang w:val="en-US" w:eastAsia="zh-CN" w:bidi="ar"/>
              </w:rPr>
              <w:t>/</w:t>
            </w:r>
          </w:p>
          <w:p w14:paraId="206478AD">
            <w:pPr>
              <w:widowControl/>
              <w:numPr>
                <w:ilvl w:val="0"/>
                <w:numId w:val="3"/>
              </w:numPr>
              <w:spacing w:line="240" w:lineRule="auto"/>
              <w:jc w:val="left"/>
              <w:textAlignment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bidi="ar"/>
              </w:rPr>
              <w:t>工作湿度：95%无冷凝</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val="en-US" w:eastAsia="zh-CN" w:bidi="ar"/>
              </w:rPr>
              <w:t>3、</w:t>
            </w:r>
            <w:r>
              <w:rPr>
                <w:rFonts w:hint="eastAsia" w:ascii="宋体" w:hAnsi="宋体" w:eastAsia="宋体" w:cs="宋体"/>
                <w:color w:val="000000"/>
                <w:kern w:val="0"/>
                <w:sz w:val="18"/>
                <w:szCs w:val="18"/>
                <w:lang w:bidi="ar"/>
              </w:rPr>
              <w:t>防水防尘等级：IP68</w:t>
            </w:r>
            <w:r>
              <w:rPr>
                <w:rFonts w:hint="eastAsia" w:ascii="宋体" w:hAnsi="宋体" w:eastAsia="宋体" w:cs="宋体"/>
                <w:color w:val="000000"/>
                <w:kern w:val="0"/>
                <w:sz w:val="18"/>
                <w:szCs w:val="18"/>
                <w:lang w:val="en-US" w:eastAsia="zh-CN" w:bidi="ar"/>
              </w:rPr>
              <w:t>/</w:t>
            </w:r>
          </w:p>
          <w:p w14:paraId="32DFACED">
            <w:pPr>
              <w:widowControl/>
              <w:numPr>
                <w:ilvl w:val="0"/>
                <w:numId w:val="3"/>
              </w:numPr>
              <w:spacing w:line="240" w:lineRule="auto"/>
              <w:ind w:left="0" w:leftChars="0" w:firstLine="0" w:firstLineChars="0"/>
              <w:jc w:val="lef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材质：改性PC</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val="en-US" w:eastAsia="zh-CN" w:bidi="ar"/>
              </w:rPr>
              <w:t>5、</w:t>
            </w:r>
            <w:r>
              <w:rPr>
                <w:rFonts w:hint="eastAsia" w:ascii="宋体" w:hAnsi="宋体" w:eastAsia="宋体" w:cs="宋体"/>
                <w:color w:val="000000"/>
                <w:kern w:val="0"/>
                <w:sz w:val="18"/>
                <w:szCs w:val="18"/>
                <w:lang w:bidi="ar"/>
              </w:rPr>
              <w:t>颜色：黑色</w:t>
            </w:r>
          </w:p>
          <w:p w14:paraId="712581B4">
            <w:pPr>
              <w:widowControl/>
              <w:numPr>
                <w:ilvl w:val="0"/>
                <w:numId w:val="0"/>
              </w:numPr>
              <w:spacing w:line="240" w:lineRule="auto"/>
              <w:ind w:leftChars="0"/>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val="en-US" w:eastAsia="zh-CN" w:bidi="ar"/>
              </w:rPr>
              <w:t>6、</w:t>
            </w:r>
            <w:r>
              <w:rPr>
                <w:rFonts w:hint="eastAsia" w:ascii="宋体" w:hAnsi="宋体" w:eastAsia="宋体" w:cs="宋体"/>
                <w:color w:val="000000"/>
                <w:kern w:val="0"/>
                <w:sz w:val="18"/>
                <w:szCs w:val="18"/>
                <w:lang w:bidi="ar"/>
              </w:rPr>
              <w:t>安装方式：架空或挂壁安装</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val="en-US" w:eastAsia="zh-CN" w:bidi="ar"/>
              </w:rPr>
              <w:t>7、</w:t>
            </w:r>
            <w:r>
              <w:rPr>
                <w:rFonts w:hint="eastAsia" w:ascii="宋体" w:hAnsi="宋体" w:eastAsia="宋体" w:cs="宋体"/>
                <w:color w:val="000000"/>
                <w:kern w:val="0"/>
                <w:sz w:val="18"/>
                <w:szCs w:val="18"/>
                <w:lang w:bidi="ar"/>
              </w:rPr>
              <w:t xml:space="preserve">防护等级：IP68 </w:t>
            </w:r>
          </w:p>
        </w:tc>
        <w:tc>
          <w:tcPr>
            <w:tcW w:w="600" w:type="dxa"/>
            <w:noWrap w:val="0"/>
            <w:vAlign w:val="center"/>
          </w:tcPr>
          <w:p w14:paraId="158968A6">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台</w:t>
            </w:r>
          </w:p>
        </w:tc>
        <w:tc>
          <w:tcPr>
            <w:tcW w:w="730" w:type="dxa"/>
            <w:vMerge w:val="continue"/>
            <w:noWrap w:val="0"/>
            <w:vAlign w:val="center"/>
          </w:tcPr>
          <w:p w14:paraId="63CE4B08">
            <w:pPr>
              <w:widowControl/>
              <w:spacing w:line="240" w:lineRule="auto"/>
              <w:jc w:val="center"/>
              <w:textAlignment w:val="center"/>
              <w:rPr>
                <w:rFonts w:hint="eastAsia" w:ascii="宋体" w:hAnsi="宋体" w:eastAsia="宋体" w:cs="宋体"/>
                <w:kern w:val="0"/>
                <w:sz w:val="20"/>
                <w:szCs w:val="20"/>
                <w:lang w:val="en-US" w:eastAsia="zh-CN" w:bidi="ar"/>
              </w:rPr>
            </w:pPr>
          </w:p>
        </w:tc>
        <w:tc>
          <w:tcPr>
            <w:tcW w:w="720" w:type="dxa"/>
            <w:vMerge w:val="continue"/>
            <w:noWrap w:val="0"/>
            <w:vAlign w:val="center"/>
          </w:tcPr>
          <w:p w14:paraId="59D7D8BC">
            <w:pPr>
              <w:widowControl/>
              <w:spacing w:line="240" w:lineRule="auto"/>
              <w:jc w:val="left"/>
              <w:textAlignment w:val="center"/>
              <w:rPr>
                <w:rFonts w:hint="eastAsia" w:ascii="宋体" w:hAnsi="宋体" w:eastAsia="宋体" w:cs="宋体"/>
                <w:kern w:val="0"/>
                <w:sz w:val="20"/>
                <w:szCs w:val="20"/>
                <w:lang w:bidi="ar"/>
              </w:rPr>
            </w:pPr>
          </w:p>
        </w:tc>
        <w:tc>
          <w:tcPr>
            <w:tcW w:w="552" w:type="dxa"/>
            <w:vMerge w:val="continue"/>
            <w:noWrap w:val="0"/>
            <w:vAlign w:val="center"/>
          </w:tcPr>
          <w:p w14:paraId="5887D000">
            <w:pPr>
              <w:widowControl/>
              <w:spacing w:line="240" w:lineRule="auto"/>
              <w:jc w:val="center"/>
              <w:textAlignment w:val="center"/>
              <w:rPr>
                <w:rFonts w:hint="eastAsia" w:ascii="宋体" w:hAnsi="宋体" w:eastAsia="宋体" w:cs="宋体"/>
                <w:kern w:val="0"/>
                <w:sz w:val="20"/>
                <w:szCs w:val="20"/>
                <w:lang w:bidi="ar"/>
              </w:rPr>
            </w:pPr>
          </w:p>
        </w:tc>
      </w:tr>
      <w:tr w14:paraId="6334C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42857D42">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5</w:t>
            </w:r>
          </w:p>
        </w:tc>
        <w:tc>
          <w:tcPr>
            <w:tcW w:w="1302" w:type="dxa"/>
            <w:noWrap w:val="0"/>
            <w:vAlign w:val="center"/>
          </w:tcPr>
          <w:p w14:paraId="60A7ED45">
            <w:pPr>
              <w:spacing w:line="240" w:lineRule="auto"/>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光纤固定配件</w:t>
            </w:r>
          </w:p>
        </w:tc>
        <w:tc>
          <w:tcPr>
            <w:tcW w:w="4880" w:type="dxa"/>
            <w:noWrap w:val="0"/>
            <w:vAlign w:val="center"/>
          </w:tcPr>
          <w:p w14:paraId="13CF7DC8">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val="en-US" w:eastAsia="zh-CN" w:bidi="ar"/>
              </w:rPr>
              <w:t>燃油储罐</w:t>
            </w:r>
            <w:r>
              <w:rPr>
                <w:rFonts w:hint="eastAsia" w:ascii="宋体" w:hAnsi="宋体" w:eastAsia="宋体" w:cs="宋体"/>
                <w:color w:val="000000"/>
                <w:kern w:val="0"/>
                <w:sz w:val="18"/>
                <w:szCs w:val="18"/>
                <w:lang w:bidi="ar"/>
              </w:rPr>
              <w:t>光纤敷设</w:t>
            </w:r>
            <w:r>
              <w:rPr>
                <w:rFonts w:hint="eastAsia" w:ascii="宋体" w:hAnsi="宋体" w:eastAsia="宋体" w:cs="宋体"/>
                <w:color w:val="000000"/>
                <w:kern w:val="0"/>
                <w:sz w:val="18"/>
                <w:szCs w:val="18"/>
                <w:lang w:val="en-US" w:eastAsia="zh-CN" w:bidi="ar"/>
              </w:rPr>
              <w:t>使</w:t>
            </w:r>
            <w:r>
              <w:rPr>
                <w:rFonts w:hint="eastAsia" w:ascii="宋体" w:hAnsi="宋体" w:eastAsia="宋体" w:cs="宋体"/>
                <w:color w:val="000000"/>
                <w:kern w:val="0"/>
                <w:sz w:val="18"/>
                <w:szCs w:val="18"/>
                <w:lang w:bidi="ar"/>
              </w:rPr>
              <w:t>用</w:t>
            </w:r>
          </w:p>
        </w:tc>
        <w:tc>
          <w:tcPr>
            <w:tcW w:w="600" w:type="dxa"/>
            <w:noWrap w:val="0"/>
            <w:vAlign w:val="center"/>
          </w:tcPr>
          <w:p w14:paraId="2CB5CA72">
            <w:pPr>
              <w:widowControl/>
              <w:spacing w:line="240" w:lineRule="auto"/>
              <w:jc w:val="center"/>
              <w:textAlignment w:val="center"/>
              <w:rPr>
                <w:rFonts w:hint="eastAsia" w:ascii="宋体" w:hAnsi="宋体" w:eastAsia="宋体" w:cs="宋体"/>
                <w:kern w:val="0"/>
                <w:sz w:val="20"/>
                <w:szCs w:val="20"/>
                <w:lang w:eastAsia="zh-CN" w:bidi="ar"/>
              </w:rPr>
            </w:pPr>
            <w:r>
              <w:rPr>
                <w:rFonts w:hint="eastAsia" w:ascii="宋体" w:hAnsi="宋体" w:eastAsia="宋体" w:cs="宋体"/>
                <w:color w:val="000000"/>
                <w:kern w:val="0"/>
                <w:sz w:val="18"/>
                <w:szCs w:val="18"/>
                <w:lang w:val="en-US" w:eastAsia="zh-CN" w:bidi="ar"/>
              </w:rPr>
              <w:t>个</w:t>
            </w:r>
          </w:p>
        </w:tc>
        <w:tc>
          <w:tcPr>
            <w:tcW w:w="730" w:type="dxa"/>
            <w:vMerge w:val="continue"/>
            <w:noWrap w:val="0"/>
            <w:vAlign w:val="center"/>
          </w:tcPr>
          <w:p w14:paraId="6FF6C755">
            <w:pPr>
              <w:widowControl/>
              <w:spacing w:line="240" w:lineRule="auto"/>
              <w:jc w:val="center"/>
              <w:textAlignment w:val="center"/>
              <w:rPr>
                <w:rFonts w:hint="eastAsia" w:ascii="宋体" w:hAnsi="宋体" w:eastAsia="宋体" w:cs="宋体"/>
                <w:kern w:val="0"/>
                <w:sz w:val="20"/>
                <w:szCs w:val="20"/>
                <w:lang w:val="en-US" w:eastAsia="zh-CN" w:bidi="ar"/>
              </w:rPr>
            </w:pPr>
          </w:p>
        </w:tc>
        <w:tc>
          <w:tcPr>
            <w:tcW w:w="720" w:type="dxa"/>
            <w:vMerge w:val="continue"/>
            <w:noWrap w:val="0"/>
            <w:vAlign w:val="center"/>
          </w:tcPr>
          <w:p w14:paraId="68D51AC4">
            <w:pPr>
              <w:spacing w:line="240" w:lineRule="auto"/>
              <w:jc w:val="left"/>
              <w:rPr>
                <w:rFonts w:hint="eastAsia" w:ascii="宋体" w:hAnsi="宋体" w:eastAsia="宋体" w:cs="宋体"/>
                <w:kern w:val="0"/>
                <w:sz w:val="20"/>
                <w:szCs w:val="20"/>
                <w:lang w:bidi="ar"/>
              </w:rPr>
            </w:pPr>
          </w:p>
        </w:tc>
        <w:tc>
          <w:tcPr>
            <w:tcW w:w="552" w:type="dxa"/>
            <w:vMerge w:val="continue"/>
            <w:noWrap w:val="0"/>
            <w:vAlign w:val="center"/>
          </w:tcPr>
          <w:p w14:paraId="510EF8A0">
            <w:pPr>
              <w:widowControl/>
              <w:spacing w:line="240" w:lineRule="auto"/>
              <w:jc w:val="center"/>
              <w:textAlignment w:val="center"/>
              <w:rPr>
                <w:rFonts w:hint="eastAsia" w:ascii="宋体" w:hAnsi="宋体" w:eastAsia="宋体" w:cs="宋体"/>
                <w:kern w:val="0"/>
                <w:sz w:val="20"/>
                <w:szCs w:val="20"/>
                <w:lang w:bidi="ar"/>
              </w:rPr>
            </w:pPr>
          </w:p>
        </w:tc>
      </w:tr>
      <w:tr w14:paraId="2CB1D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75631145">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6</w:t>
            </w:r>
          </w:p>
        </w:tc>
        <w:tc>
          <w:tcPr>
            <w:tcW w:w="1302" w:type="dxa"/>
            <w:noWrap w:val="0"/>
            <w:vAlign w:val="center"/>
          </w:tcPr>
          <w:p w14:paraId="17E3D793">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工作站</w:t>
            </w:r>
          </w:p>
        </w:tc>
        <w:tc>
          <w:tcPr>
            <w:tcW w:w="4880" w:type="dxa"/>
            <w:noWrap w:val="0"/>
            <w:vAlign w:val="center"/>
          </w:tcPr>
          <w:p w14:paraId="47B1A7CF">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采用13代多核处理器</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DDR5高速内存</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支持双显卡</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大容量高速固态硬盘</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采用立式机箱的设计</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板载具备更丰富的接口</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便于扩展</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轻松满足各种工作场景使用</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针对安防场景进行了软硬件适配调优</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兼容主流安防应用软件及视频处理软件</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视频显示更加流畅</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 xml:space="preserve">处理器： i9-13900 </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24核/32线程/2 GHz）</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内存：  32 GB</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4800MHz速率</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DDR5</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4个内存插槽</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最大支持128 GB内存</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SSD硬盘： 1个 512 G M.2 SSD</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显卡：独立显卡型号RTX 3060</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显存容量12 GB</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视频接口1个HDMI</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1个DP</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0个VGA</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光驱：不带光驱</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电源：650 W</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 xml:space="preserve">机箱大小：31 L </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键鼠：含USB有线键鼠</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显示器：23.8英寸</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分辨率1920x1080</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刷新率100hz</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1个HDMI</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 xml:space="preserve">1个VGA视频接口 </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操作系统：Win10企业版</w:t>
            </w:r>
            <w:r>
              <w:rPr>
                <w:rFonts w:hint="eastAsia" w:ascii="宋体" w:hAnsi="宋体" w:cs="宋体"/>
                <w:color w:val="000000"/>
                <w:kern w:val="0"/>
                <w:sz w:val="18"/>
                <w:szCs w:val="18"/>
                <w:highlight w:val="none"/>
                <w:lang w:eastAsia="zh" w:bidi="ar"/>
              </w:rPr>
              <w:t>（正版）永久</w:t>
            </w:r>
            <w:r>
              <w:rPr>
                <w:rFonts w:hint="eastAsia" w:ascii="宋体" w:hAnsi="宋体" w:eastAsia="宋体" w:cs="宋体"/>
                <w:color w:val="000000"/>
                <w:kern w:val="0"/>
                <w:sz w:val="18"/>
                <w:szCs w:val="18"/>
                <w:highlight w:val="none"/>
                <w:lang w:bidi="ar"/>
              </w:rPr>
              <w:t xml:space="preserve">激活 </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前置USB接口：1个USB 3.0</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1个USB 2.0</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后置USB接口：10个USB 3.0</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硬盘接口：支持4个SATA接口</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2个M.2接口</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PCIe扩展：1个 PCIE5.0 x16插槽</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1个PCIE4.0 x16插槽</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1个PCIE4.0 x4插槽</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2个PCIE3.0 x4插槽</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音频接口：前置：1个Mic in</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1个headphone out；后置：1个line in</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1个line out</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1个Mic in</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网络接口：2个RJ45  千 兆以太网口（10 M/100 M/1000 M自适应）</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支持网络唤醒</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 xml:space="preserve">其他接口：1个PS2 </w:t>
            </w:r>
          </w:p>
        </w:tc>
        <w:tc>
          <w:tcPr>
            <w:tcW w:w="600" w:type="dxa"/>
            <w:noWrap w:val="0"/>
            <w:vAlign w:val="center"/>
          </w:tcPr>
          <w:p w14:paraId="6A4B9E2E">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台</w:t>
            </w:r>
          </w:p>
        </w:tc>
        <w:tc>
          <w:tcPr>
            <w:tcW w:w="730" w:type="dxa"/>
            <w:noWrap w:val="0"/>
            <w:vAlign w:val="center"/>
          </w:tcPr>
          <w:p w14:paraId="0EB89994">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1</w:t>
            </w:r>
          </w:p>
        </w:tc>
        <w:tc>
          <w:tcPr>
            <w:tcW w:w="720" w:type="dxa"/>
            <w:noWrap w:val="0"/>
            <w:vAlign w:val="center"/>
          </w:tcPr>
          <w:p w14:paraId="4DFAFCBD">
            <w:pPr>
              <w:widowControl/>
              <w:spacing w:line="240" w:lineRule="auto"/>
              <w:jc w:val="left"/>
              <w:textAlignment w:val="center"/>
              <w:rPr>
                <w:rFonts w:hint="eastAsia" w:ascii="宋体" w:hAnsi="宋体" w:eastAsia="宋体" w:cs="宋体"/>
                <w:kern w:val="0"/>
                <w:sz w:val="20"/>
                <w:szCs w:val="20"/>
                <w:lang w:bidi="ar"/>
              </w:rPr>
            </w:pPr>
          </w:p>
        </w:tc>
        <w:tc>
          <w:tcPr>
            <w:tcW w:w="552" w:type="dxa"/>
            <w:noWrap w:val="0"/>
            <w:vAlign w:val="center"/>
          </w:tcPr>
          <w:p w14:paraId="4B9C4608">
            <w:pPr>
              <w:widowControl/>
              <w:spacing w:line="240" w:lineRule="auto"/>
              <w:jc w:val="center"/>
              <w:textAlignment w:val="center"/>
              <w:rPr>
                <w:rFonts w:hint="eastAsia" w:ascii="宋体" w:hAnsi="宋体" w:eastAsia="宋体" w:cs="宋体"/>
                <w:kern w:val="0"/>
                <w:sz w:val="20"/>
                <w:szCs w:val="20"/>
                <w:lang w:bidi="ar"/>
              </w:rPr>
            </w:pPr>
          </w:p>
        </w:tc>
      </w:tr>
      <w:tr w14:paraId="65B88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22D984D4">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7</w:t>
            </w:r>
          </w:p>
        </w:tc>
        <w:tc>
          <w:tcPr>
            <w:tcW w:w="1302" w:type="dxa"/>
            <w:noWrap w:val="0"/>
            <w:vAlign w:val="center"/>
          </w:tcPr>
          <w:p w14:paraId="5F24B298">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安消综合管理平台软件</w:t>
            </w:r>
          </w:p>
        </w:tc>
        <w:tc>
          <w:tcPr>
            <w:tcW w:w="4880" w:type="dxa"/>
            <w:noWrap w:val="0"/>
            <w:vAlign w:val="center"/>
          </w:tcPr>
          <w:p w14:paraId="696DF6E3">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基于光纤、光栅的等设备的感知能力</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提供温度、压力等数据采集、可根据监测设备不同设置不同的预警参数。从而达到设施设施监测的摸底</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主要用于生产过程中对运行设备设施健康的探测。该客户端可以独立运行无需搭配平台使用。</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一、设备接入</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1、支持测温光纤设备、光栅设备、前端设备的接入</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2、支持配置设备分区、分区的预警参数</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3、支持实时查看设备监测数据的变化曲线</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二、实时预警</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1、支持定温、温升、温降、温差等报警</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2、支持报警弹框、语音播报以及联动视频的能力</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3、预警时支持展示监测数据24小时变化曲线</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4、可查看历史预警记录</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并可查看当时预警时数据变化曲线</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并可对预警记录进行导出</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三、图上监控</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1、温度数据的接收与可视化展示：单设备温度数据的列表展示、地图上可视化展示</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2、温度异常预警的接收与可视化展示：温度异常预警目前包括定温预警、温差预警、温升预警</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 xml:space="preserve">这些预警事件的列表展示、地图可视化展示 </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并提供热成像远程复合、事件处置闭环业务</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3、空间维度的温度统计：地图温度热力图展示</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4、时间维度的温度变化趋势：针对某个设备的事件、温度变化趋势折线图绘制</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5、温度异常预警联动抓图</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在事件详情中展示对应的抓图</w:t>
            </w:r>
          </w:p>
        </w:tc>
        <w:tc>
          <w:tcPr>
            <w:tcW w:w="600" w:type="dxa"/>
            <w:noWrap w:val="0"/>
            <w:vAlign w:val="center"/>
          </w:tcPr>
          <w:p w14:paraId="58D68520">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套</w:t>
            </w:r>
          </w:p>
        </w:tc>
        <w:tc>
          <w:tcPr>
            <w:tcW w:w="730" w:type="dxa"/>
            <w:noWrap w:val="0"/>
            <w:vAlign w:val="center"/>
          </w:tcPr>
          <w:p w14:paraId="2A58378B">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1</w:t>
            </w:r>
          </w:p>
        </w:tc>
        <w:tc>
          <w:tcPr>
            <w:tcW w:w="720" w:type="dxa"/>
            <w:noWrap w:val="0"/>
            <w:vAlign w:val="center"/>
          </w:tcPr>
          <w:p w14:paraId="6DCC3C9C">
            <w:pPr>
              <w:spacing w:line="240" w:lineRule="auto"/>
              <w:jc w:val="left"/>
              <w:rPr>
                <w:rFonts w:hint="eastAsia" w:ascii="宋体" w:hAnsi="宋体" w:eastAsia="宋体" w:cs="宋体"/>
                <w:kern w:val="0"/>
                <w:sz w:val="20"/>
                <w:szCs w:val="20"/>
                <w:lang w:bidi="ar"/>
              </w:rPr>
            </w:pPr>
          </w:p>
        </w:tc>
        <w:tc>
          <w:tcPr>
            <w:tcW w:w="552" w:type="dxa"/>
            <w:noWrap w:val="0"/>
            <w:vAlign w:val="center"/>
          </w:tcPr>
          <w:p w14:paraId="79EB7DDA">
            <w:pPr>
              <w:widowControl/>
              <w:spacing w:line="240" w:lineRule="auto"/>
              <w:jc w:val="center"/>
              <w:textAlignment w:val="center"/>
              <w:rPr>
                <w:rFonts w:hint="eastAsia" w:ascii="宋体" w:hAnsi="宋体" w:eastAsia="宋体" w:cs="宋体"/>
                <w:kern w:val="0"/>
                <w:sz w:val="20"/>
                <w:szCs w:val="20"/>
                <w:lang w:eastAsia="zh" w:bidi="ar"/>
              </w:rPr>
            </w:pPr>
            <w:r>
              <w:rPr>
                <w:rFonts w:hint="eastAsia" w:ascii="宋体" w:hAnsi="宋体" w:eastAsia="宋体" w:cs="宋体"/>
                <w:color w:val="000000"/>
                <w:kern w:val="0"/>
                <w:sz w:val="18"/>
                <w:szCs w:val="18"/>
                <w:highlight w:val="none"/>
                <w:lang w:val="en-US" w:eastAsia="zh-CN" w:bidi="ar"/>
              </w:rPr>
              <w:t>全正版</w:t>
            </w:r>
            <w:r>
              <w:rPr>
                <w:rFonts w:hint="eastAsia" w:ascii="宋体" w:hAnsi="宋体" w:eastAsia="宋体" w:cs="宋体"/>
                <w:color w:val="000000"/>
                <w:kern w:val="0"/>
                <w:sz w:val="18"/>
                <w:szCs w:val="18"/>
                <w:highlight w:val="none"/>
                <w:lang w:val="en-US" w:eastAsia="zh" w:bidi="ar"/>
              </w:rPr>
              <w:t>（终身免费且负责升级）</w:t>
            </w:r>
          </w:p>
        </w:tc>
      </w:tr>
      <w:tr w14:paraId="4B6CB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3B08D34D">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9</w:t>
            </w:r>
          </w:p>
        </w:tc>
        <w:tc>
          <w:tcPr>
            <w:tcW w:w="1302" w:type="dxa"/>
            <w:noWrap w:val="0"/>
            <w:vAlign w:val="center"/>
          </w:tcPr>
          <w:p w14:paraId="570FB01F">
            <w:pPr>
              <w:widowControl/>
              <w:spacing w:line="240" w:lineRule="auto"/>
              <w:jc w:val="left"/>
              <w:textAlignment w:val="center"/>
              <w:rPr>
                <w:rFonts w:hint="eastAsia" w:ascii="宋体" w:hAnsi="宋体" w:eastAsia="宋体" w:cs="宋体"/>
                <w:sz w:val="20"/>
                <w:szCs w:val="20"/>
                <w:lang w:eastAsia="zh-CN"/>
              </w:rPr>
            </w:pPr>
            <w:r>
              <w:rPr>
                <w:rFonts w:hint="eastAsia" w:ascii="宋体" w:hAnsi="宋体" w:eastAsia="宋体" w:cs="宋体"/>
                <w:color w:val="000000"/>
                <w:kern w:val="0"/>
                <w:sz w:val="18"/>
                <w:szCs w:val="18"/>
                <w:lang w:val="en-US" w:eastAsia="zh-CN" w:bidi="ar"/>
              </w:rPr>
              <w:t>电缆保护管</w:t>
            </w:r>
          </w:p>
        </w:tc>
        <w:tc>
          <w:tcPr>
            <w:tcW w:w="4880" w:type="dxa"/>
            <w:noWrap w:val="0"/>
            <w:vAlign w:val="center"/>
          </w:tcPr>
          <w:p w14:paraId="28AAF176">
            <w:pPr>
              <w:widowControl/>
              <w:spacing w:line="240" w:lineRule="auto"/>
              <w:jc w:val="left"/>
              <w:textAlignment w:val="center"/>
              <w:rPr>
                <w:rFonts w:hint="eastAsia" w:ascii="宋体" w:hAnsi="宋体" w:eastAsia="宋体" w:cs="宋体"/>
                <w:kern w:val="0"/>
                <w:sz w:val="20"/>
                <w:szCs w:val="20"/>
                <w:lang w:bidi="ar"/>
              </w:rPr>
            </w:pPr>
            <w:r>
              <w:rPr>
                <w:rFonts w:hint="eastAsia" w:ascii="宋体" w:hAnsi="宋体" w:cs="宋体"/>
                <w:color w:val="000000"/>
                <w:kern w:val="0"/>
                <w:sz w:val="18"/>
                <w:szCs w:val="18"/>
                <w:lang w:val="en-US" w:eastAsia="zh-CN" w:bidi="ar"/>
              </w:rPr>
              <w:t>包含软管、镀锌管、卡扣、接头等，</w:t>
            </w:r>
            <w:r>
              <w:rPr>
                <w:rFonts w:hint="eastAsia" w:ascii="宋体" w:hAnsi="宋体" w:eastAsia="宋体" w:cs="宋体"/>
                <w:color w:val="000000"/>
                <w:kern w:val="0"/>
                <w:sz w:val="18"/>
                <w:szCs w:val="18"/>
                <w:lang w:bidi="ar"/>
              </w:rPr>
              <w:t>国标</w:t>
            </w:r>
          </w:p>
        </w:tc>
        <w:tc>
          <w:tcPr>
            <w:tcW w:w="600" w:type="dxa"/>
            <w:noWrap w:val="0"/>
            <w:vAlign w:val="center"/>
          </w:tcPr>
          <w:p w14:paraId="7A5BD941">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color w:val="000000"/>
                <w:kern w:val="0"/>
                <w:sz w:val="18"/>
                <w:szCs w:val="18"/>
                <w:lang w:bidi="ar"/>
              </w:rPr>
              <w:t>米</w:t>
            </w:r>
          </w:p>
        </w:tc>
        <w:tc>
          <w:tcPr>
            <w:tcW w:w="730" w:type="dxa"/>
            <w:vMerge w:val="restart"/>
            <w:noWrap w:val="0"/>
            <w:vAlign w:val="center"/>
          </w:tcPr>
          <w:p w14:paraId="39AAA1D6">
            <w:pPr>
              <w:widowControl/>
              <w:spacing w:line="240" w:lineRule="auto"/>
              <w:jc w:val="center"/>
              <w:textAlignment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满足项目需求</w:t>
            </w:r>
          </w:p>
        </w:tc>
        <w:tc>
          <w:tcPr>
            <w:tcW w:w="720" w:type="dxa"/>
            <w:vMerge w:val="restart"/>
            <w:noWrap w:val="0"/>
            <w:vAlign w:val="center"/>
          </w:tcPr>
          <w:p w14:paraId="03A0C843">
            <w:pPr>
              <w:spacing w:line="240" w:lineRule="auto"/>
              <w:jc w:val="left"/>
              <w:rPr>
                <w:rFonts w:hint="eastAsia" w:ascii="宋体" w:hAnsi="宋体" w:eastAsia="宋体" w:cs="宋体"/>
                <w:kern w:val="0"/>
                <w:sz w:val="20"/>
                <w:szCs w:val="20"/>
                <w:lang w:bidi="ar"/>
              </w:rPr>
            </w:pPr>
          </w:p>
        </w:tc>
        <w:tc>
          <w:tcPr>
            <w:tcW w:w="552" w:type="dxa"/>
            <w:vMerge w:val="restart"/>
            <w:noWrap w:val="0"/>
            <w:vAlign w:val="center"/>
          </w:tcPr>
          <w:p w14:paraId="44CF7439">
            <w:pPr>
              <w:widowControl/>
              <w:spacing w:line="240" w:lineRule="auto"/>
              <w:jc w:val="center"/>
              <w:textAlignment w:val="center"/>
              <w:rPr>
                <w:rFonts w:hint="eastAsia" w:ascii="宋体" w:hAnsi="宋体" w:eastAsia="宋体" w:cs="宋体"/>
                <w:kern w:val="0"/>
                <w:sz w:val="20"/>
                <w:szCs w:val="20"/>
                <w:lang w:bidi="ar"/>
              </w:rPr>
            </w:pPr>
          </w:p>
        </w:tc>
      </w:tr>
      <w:tr w14:paraId="08467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089001CB">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11</w:t>
            </w:r>
          </w:p>
        </w:tc>
        <w:tc>
          <w:tcPr>
            <w:tcW w:w="1302" w:type="dxa"/>
            <w:noWrap w:val="0"/>
            <w:vAlign w:val="center"/>
          </w:tcPr>
          <w:p w14:paraId="62506F25">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线材</w:t>
            </w:r>
          </w:p>
        </w:tc>
        <w:tc>
          <w:tcPr>
            <w:tcW w:w="4880" w:type="dxa"/>
            <w:noWrap w:val="0"/>
            <w:vAlign w:val="center"/>
          </w:tcPr>
          <w:p w14:paraId="51CE7255">
            <w:pPr>
              <w:widowControl/>
              <w:spacing w:line="240" w:lineRule="auto"/>
              <w:jc w:val="left"/>
              <w:textAlignment w:val="center"/>
              <w:rPr>
                <w:rFonts w:hint="eastAsia" w:ascii="宋体" w:hAnsi="宋体" w:eastAsia="宋体" w:cs="宋体"/>
                <w:sz w:val="22"/>
                <w:szCs w:val="28"/>
              </w:rPr>
            </w:pPr>
            <w:r>
              <w:rPr>
                <w:rFonts w:hint="eastAsia" w:ascii="宋体" w:hAnsi="宋体" w:eastAsia="宋体" w:cs="宋体"/>
                <w:color w:val="000000"/>
                <w:kern w:val="0"/>
                <w:sz w:val="18"/>
                <w:szCs w:val="18"/>
                <w:lang w:bidi="ar"/>
              </w:rPr>
              <w:t>国标</w:t>
            </w:r>
          </w:p>
        </w:tc>
        <w:tc>
          <w:tcPr>
            <w:tcW w:w="600" w:type="dxa"/>
            <w:noWrap w:val="0"/>
            <w:vAlign w:val="center"/>
          </w:tcPr>
          <w:p w14:paraId="6C17A64D">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米</w:t>
            </w:r>
          </w:p>
        </w:tc>
        <w:tc>
          <w:tcPr>
            <w:tcW w:w="730" w:type="dxa"/>
            <w:vMerge w:val="continue"/>
            <w:noWrap w:val="0"/>
            <w:vAlign w:val="center"/>
          </w:tcPr>
          <w:p w14:paraId="2A2A950E">
            <w:pPr>
              <w:widowControl/>
              <w:spacing w:line="240" w:lineRule="auto"/>
              <w:jc w:val="center"/>
              <w:textAlignment w:val="center"/>
              <w:rPr>
                <w:rFonts w:hint="eastAsia" w:ascii="宋体" w:hAnsi="宋体" w:eastAsia="宋体" w:cs="宋体"/>
                <w:kern w:val="0"/>
                <w:sz w:val="20"/>
                <w:szCs w:val="20"/>
                <w:lang w:bidi="ar"/>
              </w:rPr>
            </w:pPr>
          </w:p>
        </w:tc>
        <w:tc>
          <w:tcPr>
            <w:tcW w:w="720" w:type="dxa"/>
            <w:vMerge w:val="continue"/>
            <w:noWrap w:val="0"/>
            <w:vAlign w:val="center"/>
          </w:tcPr>
          <w:p w14:paraId="408F5719">
            <w:pPr>
              <w:widowControl/>
              <w:spacing w:line="240" w:lineRule="auto"/>
              <w:jc w:val="left"/>
              <w:textAlignment w:val="center"/>
              <w:rPr>
                <w:rFonts w:hint="eastAsia" w:ascii="宋体" w:hAnsi="宋体" w:eastAsia="宋体" w:cs="宋体"/>
                <w:kern w:val="0"/>
                <w:sz w:val="20"/>
                <w:szCs w:val="20"/>
                <w:lang w:bidi="ar"/>
              </w:rPr>
            </w:pPr>
          </w:p>
        </w:tc>
        <w:tc>
          <w:tcPr>
            <w:tcW w:w="552" w:type="dxa"/>
            <w:vMerge w:val="continue"/>
            <w:noWrap w:val="0"/>
            <w:vAlign w:val="center"/>
          </w:tcPr>
          <w:p w14:paraId="4C0530F7">
            <w:pPr>
              <w:widowControl/>
              <w:spacing w:line="240" w:lineRule="auto"/>
              <w:jc w:val="center"/>
              <w:textAlignment w:val="center"/>
              <w:rPr>
                <w:rFonts w:hint="eastAsia" w:ascii="宋体" w:hAnsi="宋体" w:eastAsia="宋体" w:cs="宋体"/>
                <w:kern w:val="0"/>
                <w:sz w:val="20"/>
                <w:szCs w:val="20"/>
                <w:lang w:bidi="ar"/>
              </w:rPr>
            </w:pPr>
          </w:p>
        </w:tc>
      </w:tr>
      <w:tr w14:paraId="00692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1742C76C">
            <w:pPr>
              <w:widowControl/>
              <w:spacing w:line="240" w:lineRule="auto"/>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14</w:t>
            </w:r>
          </w:p>
        </w:tc>
        <w:tc>
          <w:tcPr>
            <w:tcW w:w="1302" w:type="dxa"/>
            <w:noWrap w:val="0"/>
            <w:vAlign w:val="center"/>
          </w:tcPr>
          <w:p w14:paraId="16F1E4DA">
            <w:pPr>
              <w:widowControl/>
              <w:spacing w:line="240" w:lineRule="auto"/>
              <w:jc w:val="left"/>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辅材</w:t>
            </w:r>
          </w:p>
        </w:tc>
        <w:tc>
          <w:tcPr>
            <w:tcW w:w="4880" w:type="dxa"/>
            <w:noWrap w:val="0"/>
            <w:vAlign w:val="center"/>
          </w:tcPr>
          <w:p w14:paraId="556441BA">
            <w:pPr>
              <w:widowControl/>
              <w:spacing w:line="240" w:lineRule="auto"/>
              <w:jc w:val="left"/>
              <w:textAlignment w:val="center"/>
              <w:rPr>
                <w:rFonts w:hint="eastAsia" w:ascii="宋体" w:hAnsi="宋体" w:eastAsia="宋体" w:cs="宋体"/>
                <w:sz w:val="22"/>
                <w:szCs w:val="28"/>
              </w:rPr>
            </w:pPr>
            <w:r>
              <w:rPr>
                <w:rFonts w:hint="eastAsia" w:ascii="宋体" w:hAnsi="宋体" w:eastAsia="宋体" w:cs="宋体"/>
                <w:color w:val="000000"/>
                <w:kern w:val="0"/>
                <w:sz w:val="18"/>
                <w:szCs w:val="18"/>
                <w:lang w:bidi="ar"/>
              </w:rPr>
              <w:t>含电工胶布</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扎带</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熔纤盘</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val="en-US" w:eastAsia="zh-CN" w:bidi="ar"/>
              </w:rPr>
              <w:t>尾纤、安装配件</w:t>
            </w:r>
            <w:r>
              <w:rPr>
                <w:rFonts w:hint="eastAsia" w:ascii="宋体" w:hAnsi="宋体" w:eastAsia="宋体" w:cs="宋体"/>
                <w:color w:val="000000"/>
                <w:kern w:val="0"/>
                <w:sz w:val="18"/>
                <w:szCs w:val="18"/>
                <w:lang w:bidi="ar"/>
              </w:rPr>
              <w:t>等</w:t>
            </w:r>
          </w:p>
        </w:tc>
        <w:tc>
          <w:tcPr>
            <w:tcW w:w="600" w:type="dxa"/>
            <w:noWrap w:val="0"/>
            <w:vAlign w:val="center"/>
          </w:tcPr>
          <w:p w14:paraId="189F3F81">
            <w:pPr>
              <w:widowControl/>
              <w:spacing w:line="240" w:lineRule="auto"/>
              <w:jc w:val="center"/>
              <w:textAlignment w:val="center"/>
              <w:rPr>
                <w:rFonts w:hint="eastAsia" w:ascii="宋体" w:hAnsi="宋体" w:eastAsia="宋体" w:cs="宋体"/>
                <w:sz w:val="20"/>
                <w:szCs w:val="20"/>
              </w:rPr>
            </w:pPr>
            <w:r>
              <w:rPr>
                <w:rFonts w:hint="eastAsia" w:ascii="宋体" w:hAnsi="宋体" w:eastAsia="宋体" w:cs="宋体"/>
                <w:color w:val="000000"/>
                <w:kern w:val="0"/>
                <w:sz w:val="18"/>
                <w:szCs w:val="18"/>
                <w:lang w:bidi="ar"/>
              </w:rPr>
              <w:t>批</w:t>
            </w:r>
          </w:p>
        </w:tc>
        <w:tc>
          <w:tcPr>
            <w:tcW w:w="730" w:type="dxa"/>
            <w:vMerge w:val="continue"/>
            <w:noWrap w:val="0"/>
            <w:vAlign w:val="center"/>
          </w:tcPr>
          <w:p w14:paraId="1689ECBE">
            <w:pPr>
              <w:widowControl/>
              <w:spacing w:line="240" w:lineRule="auto"/>
              <w:jc w:val="center"/>
              <w:textAlignment w:val="center"/>
              <w:rPr>
                <w:rFonts w:hint="eastAsia" w:ascii="宋体" w:hAnsi="宋体" w:eastAsia="宋体" w:cs="宋体"/>
                <w:kern w:val="0"/>
                <w:sz w:val="20"/>
                <w:szCs w:val="20"/>
                <w:lang w:bidi="ar"/>
              </w:rPr>
            </w:pPr>
          </w:p>
        </w:tc>
        <w:tc>
          <w:tcPr>
            <w:tcW w:w="720" w:type="dxa"/>
            <w:vMerge w:val="continue"/>
            <w:noWrap w:val="0"/>
            <w:vAlign w:val="center"/>
          </w:tcPr>
          <w:p w14:paraId="1E8D0E29">
            <w:pPr>
              <w:spacing w:line="240" w:lineRule="auto"/>
              <w:jc w:val="left"/>
              <w:rPr>
                <w:rFonts w:hint="eastAsia" w:ascii="宋体" w:hAnsi="宋体" w:eastAsia="宋体" w:cs="宋体"/>
                <w:kern w:val="0"/>
                <w:sz w:val="20"/>
                <w:szCs w:val="20"/>
                <w:lang w:bidi="ar"/>
              </w:rPr>
            </w:pPr>
          </w:p>
        </w:tc>
        <w:tc>
          <w:tcPr>
            <w:tcW w:w="552" w:type="dxa"/>
            <w:vMerge w:val="continue"/>
            <w:noWrap w:val="0"/>
            <w:vAlign w:val="center"/>
          </w:tcPr>
          <w:p w14:paraId="77D8AA76">
            <w:pPr>
              <w:widowControl/>
              <w:spacing w:line="240" w:lineRule="auto"/>
              <w:jc w:val="center"/>
              <w:textAlignment w:val="center"/>
              <w:rPr>
                <w:rFonts w:hint="eastAsia" w:ascii="宋体" w:hAnsi="宋体" w:eastAsia="宋体" w:cs="宋体"/>
                <w:kern w:val="0"/>
                <w:sz w:val="20"/>
                <w:szCs w:val="20"/>
                <w:lang w:bidi="ar"/>
              </w:rPr>
            </w:pPr>
          </w:p>
        </w:tc>
      </w:tr>
      <w:tr w14:paraId="5C1CF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58" w:type="dxa"/>
            <w:noWrap/>
            <w:vAlign w:val="center"/>
          </w:tcPr>
          <w:p w14:paraId="733AE900">
            <w:pPr>
              <w:widowControl/>
              <w:spacing w:line="240" w:lineRule="auto"/>
              <w:jc w:val="center"/>
              <w:textAlignment w:val="center"/>
              <w:rPr>
                <w:rFonts w:hint="default" w:ascii="宋体" w:hAnsi="宋体" w:eastAsia="宋体" w:cs="宋体"/>
                <w:kern w:val="0"/>
                <w:sz w:val="20"/>
                <w:szCs w:val="20"/>
                <w:lang w:val="en-US" w:eastAsia="zh-CN" w:bidi="ar"/>
              </w:rPr>
            </w:pPr>
            <w:r>
              <w:rPr>
                <w:rFonts w:hint="eastAsia" w:ascii="宋体" w:hAnsi="宋体" w:cs="宋体"/>
                <w:kern w:val="0"/>
                <w:sz w:val="20"/>
                <w:szCs w:val="20"/>
                <w:lang w:val="en-US" w:eastAsia="zh-CN" w:bidi="ar"/>
              </w:rPr>
              <w:t>...</w:t>
            </w:r>
          </w:p>
        </w:tc>
        <w:tc>
          <w:tcPr>
            <w:tcW w:w="1302" w:type="dxa"/>
            <w:noWrap w:val="0"/>
            <w:vAlign w:val="center"/>
          </w:tcPr>
          <w:p w14:paraId="17CAB058">
            <w:pPr>
              <w:widowControl/>
              <w:spacing w:line="240" w:lineRule="auto"/>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4880" w:type="dxa"/>
            <w:noWrap w:val="0"/>
            <w:vAlign w:val="center"/>
          </w:tcPr>
          <w:p w14:paraId="7C93CB6D">
            <w:pPr>
              <w:widowControl/>
              <w:spacing w:line="240" w:lineRule="auto"/>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600" w:type="dxa"/>
            <w:noWrap w:val="0"/>
            <w:vAlign w:val="center"/>
          </w:tcPr>
          <w:p w14:paraId="4879F8D7">
            <w:pPr>
              <w:widowControl/>
              <w:spacing w:line="240" w:lineRule="auto"/>
              <w:jc w:val="center"/>
              <w:textAlignment w:val="center"/>
              <w:rPr>
                <w:rFonts w:hint="eastAsia" w:ascii="宋体" w:hAnsi="宋体" w:eastAsia="宋体" w:cs="宋体"/>
                <w:color w:val="000000"/>
                <w:kern w:val="0"/>
                <w:sz w:val="18"/>
                <w:szCs w:val="18"/>
                <w:lang w:bidi="ar"/>
              </w:rPr>
            </w:pPr>
          </w:p>
        </w:tc>
        <w:tc>
          <w:tcPr>
            <w:tcW w:w="730" w:type="dxa"/>
            <w:noWrap w:val="0"/>
            <w:vAlign w:val="center"/>
          </w:tcPr>
          <w:p w14:paraId="323BFA5D">
            <w:pPr>
              <w:widowControl/>
              <w:spacing w:line="240" w:lineRule="auto"/>
              <w:jc w:val="center"/>
              <w:textAlignment w:val="center"/>
              <w:rPr>
                <w:rFonts w:hint="eastAsia" w:ascii="宋体" w:hAnsi="宋体" w:eastAsia="宋体" w:cs="宋体"/>
                <w:kern w:val="0"/>
                <w:sz w:val="20"/>
                <w:szCs w:val="20"/>
                <w:lang w:bidi="ar"/>
              </w:rPr>
            </w:pPr>
          </w:p>
        </w:tc>
        <w:tc>
          <w:tcPr>
            <w:tcW w:w="720" w:type="dxa"/>
            <w:noWrap w:val="0"/>
            <w:vAlign w:val="center"/>
          </w:tcPr>
          <w:p w14:paraId="5838D966">
            <w:pPr>
              <w:spacing w:line="240" w:lineRule="auto"/>
              <w:jc w:val="left"/>
              <w:rPr>
                <w:rFonts w:hint="eastAsia" w:ascii="宋体" w:hAnsi="宋体" w:eastAsia="宋体" w:cs="宋体"/>
                <w:kern w:val="0"/>
                <w:sz w:val="20"/>
                <w:szCs w:val="20"/>
                <w:lang w:bidi="ar"/>
              </w:rPr>
            </w:pPr>
          </w:p>
        </w:tc>
        <w:tc>
          <w:tcPr>
            <w:tcW w:w="552" w:type="dxa"/>
            <w:noWrap w:val="0"/>
            <w:vAlign w:val="center"/>
          </w:tcPr>
          <w:p w14:paraId="1CD44685">
            <w:pPr>
              <w:widowControl/>
              <w:spacing w:line="240" w:lineRule="auto"/>
              <w:jc w:val="center"/>
              <w:textAlignment w:val="center"/>
              <w:rPr>
                <w:rFonts w:hint="eastAsia" w:ascii="宋体" w:hAnsi="宋体" w:eastAsia="宋体" w:cs="宋体"/>
                <w:kern w:val="0"/>
                <w:sz w:val="20"/>
                <w:szCs w:val="20"/>
                <w:lang w:bidi="ar"/>
              </w:rPr>
            </w:pPr>
          </w:p>
        </w:tc>
      </w:tr>
    </w:tbl>
    <w:p w14:paraId="7DA5AD3E">
      <w:pPr>
        <w:spacing w:line="576" w:lineRule="exact"/>
        <w:jc w:val="both"/>
        <w:rPr>
          <w:rFonts w:hint="eastAsia" w:ascii="Times New Roman" w:hAnsi="Times New Roman" w:eastAsia="宋体" w:cs="Times New Roman"/>
          <w:b/>
          <w:bCs w:val="0"/>
          <w:kern w:val="0"/>
          <w:sz w:val="21"/>
          <w:szCs w:val="24"/>
          <w:highlight w:val="none"/>
          <w:lang w:val="zh-CN"/>
        </w:rPr>
      </w:pPr>
    </w:p>
    <w:p w14:paraId="6AE33432">
      <w:pPr>
        <w:pStyle w:val="11"/>
        <w:widowControl w:val="0"/>
        <w:numPr>
          <w:ilvl w:val="0"/>
          <w:numId w:val="0"/>
        </w:numPr>
        <w:spacing w:line="360" w:lineRule="auto"/>
        <w:jc w:val="both"/>
        <w:rPr>
          <w:rFonts w:hint="default" w:ascii="仿宋_GB2312" w:hAnsi="仿宋_GB2312" w:eastAsia="仿宋_GB2312" w:cs="仿宋_GB2312"/>
          <w:b/>
          <w:bCs/>
          <w:spacing w:val="0"/>
          <w:kern w:val="2"/>
          <w:sz w:val="24"/>
          <w:szCs w:val="24"/>
          <w:lang w:val="en-US" w:eastAsia="zh-CN" w:bidi="ar-SA"/>
        </w:rPr>
      </w:pPr>
      <w:r>
        <w:rPr>
          <w:rFonts w:hint="default" w:ascii="仿宋_GB2312" w:hAnsi="仿宋_GB2312" w:eastAsia="仿宋_GB2312" w:cs="仿宋_GB2312"/>
          <w:b/>
          <w:bCs/>
          <w:spacing w:val="0"/>
          <w:kern w:val="2"/>
          <w:sz w:val="24"/>
          <w:szCs w:val="24"/>
          <w:lang w:val="en-US" w:eastAsia="zh-CN" w:bidi="ar-SA"/>
        </w:rPr>
        <w:t>注：</w:t>
      </w:r>
      <w:r>
        <w:rPr>
          <w:rFonts w:hint="eastAsia" w:ascii="仿宋_GB2312" w:hAnsi="仿宋_GB2312" w:eastAsia="仿宋_GB2312" w:cs="仿宋_GB2312"/>
          <w:b/>
          <w:bCs/>
          <w:spacing w:val="0"/>
          <w:kern w:val="2"/>
          <w:sz w:val="24"/>
          <w:szCs w:val="24"/>
          <w:lang w:val="en-US" w:eastAsia="zh-CN" w:bidi="ar-SA"/>
        </w:rPr>
        <w:t>报价人</w:t>
      </w:r>
      <w:r>
        <w:rPr>
          <w:rFonts w:hint="default" w:ascii="仿宋_GB2312" w:hAnsi="仿宋_GB2312" w:eastAsia="仿宋_GB2312" w:cs="仿宋_GB2312"/>
          <w:b/>
          <w:bCs/>
          <w:spacing w:val="0"/>
          <w:kern w:val="2"/>
          <w:sz w:val="24"/>
          <w:szCs w:val="24"/>
          <w:lang w:val="en-US" w:eastAsia="zh-CN" w:bidi="ar-SA"/>
        </w:rPr>
        <w:t>须根据技术规范书要求，补充填写供货清单。上述设备名称及数量为</w:t>
      </w:r>
      <w:r>
        <w:rPr>
          <w:rFonts w:hint="eastAsia" w:ascii="仿宋_GB2312" w:hAnsi="仿宋_GB2312" w:eastAsia="仿宋_GB2312" w:cs="仿宋_GB2312"/>
          <w:b/>
          <w:bCs/>
          <w:spacing w:val="0"/>
          <w:kern w:val="2"/>
          <w:sz w:val="24"/>
          <w:szCs w:val="24"/>
          <w:lang w:val="en-US" w:eastAsia="zh-CN" w:bidi="ar-SA"/>
        </w:rPr>
        <w:t>采购</w:t>
      </w:r>
      <w:r>
        <w:rPr>
          <w:rFonts w:hint="default" w:ascii="仿宋_GB2312" w:hAnsi="仿宋_GB2312" w:eastAsia="仿宋_GB2312" w:cs="仿宋_GB2312"/>
          <w:b/>
          <w:bCs/>
          <w:spacing w:val="0"/>
          <w:kern w:val="2"/>
          <w:sz w:val="24"/>
          <w:szCs w:val="24"/>
          <w:lang w:val="en-US" w:eastAsia="zh-CN" w:bidi="ar-SA"/>
        </w:rPr>
        <w:t>人预估项，</w:t>
      </w:r>
      <w:r>
        <w:rPr>
          <w:rFonts w:hint="eastAsia" w:ascii="仿宋_GB2312" w:hAnsi="仿宋_GB2312" w:eastAsia="仿宋_GB2312" w:cs="仿宋_GB2312"/>
          <w:b/>
          <w:bCs/>
          <w:spacing w:val="0"/>
          <w:kern w:val="2"/>
          <w:sz w:val="24"/>
          <w:szCs w:val="24"/>
          <w:lang w:val="en-US" w:eastAsia="zh-CN" w:bidi="ar-SA"/>
        </w:rPr>
        <w:t>报价人</w:t>
      </w:r>
      <w:r>
        <w:rPr>
          <w:rFonts w:hint="default" w:ascii="仿宋_GB2312" w:hAnsi="仿宋_GB2312" w:eastAsia="仿宋_GB2312" w:cs="仿宋_GB2312"/>
          <w:b/>
          <w:bCs/>
          <w:spacing w:val="0"/>
          <w:kern w:val="2"/>
          <w:sz w:val="24"/>
          <w:szCs w:val="24"/>
          <w:lang w:val="en-US" w:eastAsia="zh-CN" w:bidi="ar-SA"/>
        </w:rPr>
        <w:t>可根据自身对项目及现场情况的了解自行增加合理的设备或数量，合同履行过程中，乙方应保证供货满足本项目需求，填报数量不满足项目需求的，由乙方免费提供，合同金额不因此发生变更。</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FEC36"/>
    <w:multiLevelType w:val="singleLevel"/>
    <w:tmpl w:val="A59FEC36"/>
    <w:lvl w:ilvl="0" w:tentative="0">
      <w:start w:val="2"/>
      <w:numFmt w:val="chineseCounting"/>
      <w:suff w:val="space"/>
      <w:lvlText w:val="第%1章"/>
      <w:lvlJc w:val="left"/>
      <w:rPr>
        <w:rFonts w:hint="eastAsia"/>
      </w:rPr>
    </w:lvl>
  </w:abstractNum>
  <w:abstractNum w:abstractNumId="1">
    <w:nsid w:val="5E69A05E"/>
    <w:multiLevelType w:val="singleLevel"/>
    <w:tmpl w:val="5E69A05E"/>
    <w:lvl w:ilvl="0" w:tentative="0">
      <w:start w:val="2"/>
      <w:numFmt w:val="decimal"/>
      <w:suff w:val="nothing"/>
      <w:lvlText w:val="%1、"/>
      <w:lvlJc w:val="left"/>
    </w:lvl>
  </w:abstractNum>
  <w:abstractNum w:abstractNumId="2">
    <w:nsid w:val="76933334"/>
    <w:multiLevelType w:val="multilevel"/>
    <w:tmpl w:val="76933334"/>
    <w:lvl w:ilvl="0" w:tentative="0">
      <w:start w:val="1"/>
      <w:numFmt w:val="none"/>
      <w:lvlText w:val="%1——"/>
      <w:lvlJc w:val="left"/>
      <w:pPr>
        <w:tabs>
          <w:tab w:val="left" w:pos="1455"/>
        </w:tabs>
        <w:ind w:left="1155"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12"/>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3"/>
      <w:numFmt w:val="lowerLetter"/>
      <w:lvlText w:val="%6）"/>
      <w:lvlJc w:val="left"/>
      <w:pPr>
        <w:tabs>
          <w:tab w:val="left" w:pos="2460"/>
        </w:tabs>
        <w:ind w:left="2460" w:hanging="360"/>
      </w:pPr>
      <w:rPr>
        <w:rFonts w:hint="default"/>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00965"/>
    <w:rsid w:val="00D775E2"/>
    <w:rsid w:val="02396C21"/>
    <w:rsid w:val="03B00965"/>
    <w:rsid w:val="10A81229"/>
    <w:rsid w:val="16D31F07"/>
    <w:rsid w:val="1758BED3"/>
    <w:rsid w:val="17B75C23"/>
    <w:rsid w:val="1A421E88"/>
    <w:rsid w:val="1DFF92BC"/>
    <w:rsid w:val="1FBCF500"/>
    <w:rsid w:val="1FE1C878"/>
    <w:rsid w:val="1FEB4F23"/>
    <w:rsid w:val="1FF7CF0F"/>
    <w:rsid w:val="239321B0"/>
    <w:rsid w:val="25837C33"/>
    <w:rsid w:val="259049AF"/>
    <w:rsid w:val="2ED987BC"/>
    <w:rsid w:val="2F707FF5"/>
    <w:rsid w:val="2FFBDF4F"/>
    <w:rsid w:val="34386B83"/>
    <w:rsid w:val="35161E0F"/>
    <w:rsid w:val="365F301D"/>
    <w:rsid w:val="3719724C"/>
    <w:rsid w:val="37DFDA19"/>
    <w:rsid w:val="38DE1969"/>
    <w:rsid w:val="3AEA0E11"/>
    <w:rsid w:val="3BD94012"/>
    <w:rsid w:val="3BEF7167"/>
    <w:rsid w:val="3D6F0EE7"/>
    <w:rsid w:val="3EF3CF6B"/>
    <w:rsid w:val="3EF6A9E8"/>
    <w:rsid w:val="3EFB2DE2"/>
    <w:rsid w:val="3FE36395"/>
    <w:rsid w:val="3FFB4C0B"/>
    <w:rsid w:val="3FFF6EAA"/>
    <w:rsid w:val="44886EDC"/>
    <w:rsid w:val="47BB059D"/>
    <w:rsid w:val="47FFE8DC"/>
    <w:rsid w:val="48B77156"/>
    <w:rsid w:val="4C3D1F0A"/>
    <w:rsid w:val="4CBFE054"/>
    <w:rsid w:val="530A51E9"/>
    <w:rsid w:val="53BF30CD"/>
    <w:rsid w:val="57391ECC"/>
    <w:rsid w:val="5768BD2C"/>
    <w:rsid w:val="5BEBA5F5"/>
    <w:rsid w:val="5CD367C0"/>
    <w:rsid w:val="5D7F61E3"/>
    <w:rsid w:val="5EEF793D"/>
    <w:rsid w:val="5F4B4881"/>
    <w:rsid w:val="5FB79AE6"/>
    <w:rsid w:val="5FD75E52"/>
    <w:rsid w:val="5FDF428F"/>
    <w:rsid w:val="5FEF5E23"/>
    <w:rsid w:val="5FFF16FF"/>
    <w:rsid w:val="5FFF6F0F"/>
    <w:rsid w:val="6357C350"/>
    <w:rsid w:val="656D13D5"/>
    <w:rsid w:val="669B3EAC"/>
    <w:rsid w:val="6BBF9AA7"/>
    <w:rsid w:val="6BCF9F81"/>
    <w:rsid w:val="6D7FE81E"/>
    <w:rsid w:val="6EBE3B80"/>
    <w:rsid w:val="6F9F6BDD"/>
    <w:rsid w:val="6FC5BE1E"/>
    <w:rsid w:val="6FCED8D1"/>
    <w:rsid w:val="6FE5FA5C"/>
    <w:rsid w:val="6FEB2006"/>
    <w:rsid w:val="6FEF1C64"/>
    <w:rsid w:val="72B5AAF2"/>
    <w:rsid w:val="72E04F3A"/>
    <w:rsid w:val="7336B0D1"/>
    <w:rsid w:val="73BE30FC"/>
    <w:rsid w:val="73FF8731"/>
    <w:rsid w:val="74F577AD"/>
    <w:rsid w:val="754F10B1"/>
    <w:rsid w:val="75EF8489"/>
    <w:rsid w:val="76CE59CF"/>
    <w:rsid w:val="77DF192A"/>
    <w:rsid w:val="77F68831"/>
    <w:rsid w:val="77FB41C8"/>
    <w:rsid w:val="77FFE2FE"/>
    <w:rsid w:val="782F0540"/>
    <w:rsid w:val="797D827F"/>
    <w:rsid w:val="798E0141"/>
    <w:rsid w:val="799FE105"/>
    <w:rsid w:val="7AB76452"/>
    <w:rsid w:val="7AF65FFF"/>
    <w:rsid w:val="7AFFC126"/>
    <w:rsid w:val="7BF7CF52"/>
    <w:rsid w:val="7BFCF289"/>
    <w:rsid w:val="7BFD7255"/>
    <w:rsid w:val="7BFDF689"/>
    <w:rsid w:val="7BFF9933"/>
    <w:rsid w:val="7C7FD789"/>
    <w:rsid w:val="7CFF6BAC"/>
    <w:rsid w:val="7D7EB411"/>
    <w:rsid w:val="7D9A7CF0"/>
    <w:rsid w:val="7D9D9186"/>
    <w:rsid w:val="7DDD60DF"/>
    <w:rsid w:val="7DFC7F78"/>
    <w:rsid w:val="7E3A7833"/>
    <w:rsid w:val="7ED3AB2C"/>
    <w:rsid w:val="7F3FB4D2"/>
    <w:rsid w:val="7F6BB6FF"/>
    <w:rsid w:val="7F744F20"/>
    <w:rsid w:val="7F8DBE5F"/>
    <w:rsid w:val="7F9E166E"/>
    <w:rsid w:val="7FDFF6EB"/>
    <w:rsid w:val="7FEB2E9A"/>
    <w:rsid w:val="7FEBAAAF"/>
    <w:rsid w:val="7FEF56FA"/>
    <w:rsid w:val="7FEFA06E"/>
    <w:rsid w:val="7FFD0811"/>
    <w:rsid w:val="865D39A3"/>
    <w:rsid w:val="8ADB908D"/>
    <w:rsid w:val="937FC55B"/>
    <w:rsid w:val="9F327FF4"/>
    <w:rsid w:val="9F7C7531"/>
    <w:rsid w:val="AF5F10F5"/>
    <w:rsid w:val="B1CDE7F1"/>
    <w:rsid w:val="B7FFA2E9"/>
    <w:rsid w:val="B7FFA7A5"/>
    <w:rsid w:val="BBDFCE6E"/>
    <w:rsid w:val="BBEEACB6"/>
    <w:rsid w:val="BBF1D354"/>
    <w:rsid w:val="BF2F44B3"/>
    <w:rsid w:val="BFAF0177"/>
    <w:rsid w:val="BFDA9F93"/>
    <w:rsid w:val="CDFF61A6"/>
    <w:rsid w:val="CF97278F"/>
    <w:rsid w:val="D6F7D7CF"/>
    <w:rsid w:val="D7FFF297"/>
    <w:rsid w:val="DB7316FD"/>
    <w:rsid w:val="DBB75589"/>
    <w:rsid w:val="DBDE9752"/>
    <w:rsid w:val="DCFE5E23"/>
    <w:rsid w:val="DD86D29F"/>
    <w:rsid w:val="DDD72572"/>
    <w:rsid w:val="DDF7B41E"/>
    <w:rsid w:val="DF1FF8B9"/>
    <w:rsid w:val="DFBF80CF"/>
    <w:rsid w:val="DFD831CA"/>
    <w:rsid w:val="DFEF2223"/>
    <w:rsid w:val="DFFB1BFA"/>
    <w:rsid w:val="DFFD8C4B"/>
    <w:rsid w:val="E14ACED6"/>
    <w:rsid w:val="E2FFFB0E"/>
    <w:rsid w:val="E4BD5D14"/>
    <w:rsid w:val="E9FE0167"/>
    <w:rsid w:val="EBFF6AEE"/>
    <w:rsid w:val="EC675469"/>
    <w:rsid w:val="EDDF7A12"/>
    <w:rsid w:val="EE7714B2"/>
    <w:rsid w:val="EEFD39BB"/>
    <w:rsid w:val="EEFE9B26"/>
    <w:rsid w:val="EEFFE242"/>
    <w:rsid w:val="EFAFBC0C"/>
    <w:rsid w:val="EFBF867F"/>
    <w:rsid w:val="EFFB7846"/>
    <w:rsid w:val="F2EF8C07"/>
    <w:rsid w:val="F3EB9FBF"/>
    <w:rsid w:val="F4BF00F5"/>
    <w:rsid w:val="F57B9EE4"/>
    <w:rsid w:val="F77B01A7"/>
    <w:rsid w:val="F78FDD60"/>
    <w:rsid w:val="F7FF9D6D"/>
    <w:rsid w:val="F7FFBD85"/>
    <w:rsid w:val="F9359E63"/>
    <w:rsid w:val="F9FF3B28"/>
    <w:rsid w:val="FAD9C210"/>
    <w:rsid w:val="FAFFF42E"/>
    <w:rsid w:val="FB5F6555"/>
    <w:rsid w:val="FB6FF016"/>
    <w:rsid w:val="FB7FCA61"/>
    <w:rsid w:val="FBDCC681"/>
    <w:rsid w:val="FC076CF5"/>
    <w:rsid w:val="FC7E9A5C"/>
    <w:rsid w:val="FCDAB155"/>
    <w:rsid w:val="FD5F99C0"/>
    <w:rsid w:val="FD765E09"/>
    <w:rsid w:val="FD7D4BBA"/>
    <w:rsid w:val="FD7F1117"/>
    <w:rsid w:val="FDBFD668"/>
    <w:rsid w:val="FDD126AE"/>
    <w:rsid w:val="FDDB736A"/>
    <w:rsid w:val="FE7F294B"/>
    <w:rsid w:val="FEC9FF52"/>
    <w:rsid w:val="FEDB55DD"/>
    <w:rsid w:val="FEFFE61B"/>
    <w:rsid w:val="FF2F2CF8"/>
    <w:rsid w:val="FF3E7125"/>
    <w:rsid w:val="FFB0C198"/>
    <w:rsid w:val="FFCDE02E"/>
    <w:rsid w:val="FFD074AA"/>
    <w:rsid w:val="FFF9C2BF"/>
    <w:rsid w:val="FFFC0A01"/>
    <w:rsid w:val="FFFF15A6"/>
    <w:rsid w:val="FFFFFF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5">
    <w:name w:val="Plain Text"/>
    <w:basedOn w:val="1"/>
    <w:qFormat/>
    <w:uiPriority w:val="0"/>
    <w:rPr>
      <w:rFonts w:ascii="Courier New" w:hAnsi="Courier New"/>
      <w:szCs w:val="20"/>
    </w:rPr>
  </w:style>
  <w:style w:type="paragraph" w:styleId="6">
    <w:name w:val="Date"/>
    <w:basedOn w:val="1"/>
    <w:next w:val="1"/>
    <w:qFormat/>
    <w:uiPriority w:val="0"/>
    <w:pPr>
      <w:ind w:left="100" w:leftChars="25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四级标题"/>
    <w:basedOn w:val="6"/>
    <w:qFormat/>
    <w:uiPriority w:val="0"/>
    <w:pPr>
      <w:spacing w:line="360" w:lineRule="auto"/>
      <w:ind w:left="0" w:leftChars="0"/>
    </w:pPr>
    <w:rPr>
      <w:rFonts w:eastAsia="黑体"/>
      <w:sz w:val="24"/>
      <w:szCs w:val="20"/>
    </w:rPr>
  </w:style>
  <w:style w:type="paragraph" w:customStyle="1" w:styleId="11">
    <w:name w:val="表格文字2"/>
    <w:basedOn w:val="1"/>
    <w:qFormat/>
    <w:uiPriority w:val="0"/>
    <w:pPr>
      <w:jc w:val="left"/>
    </w:pPr>
    <w:rPr>
      <w:bCs/>
      <w:spacing w:val="10"/>
      <w:kern w:val="0"/>
    </w:rPr>
  </w:style>
  <w:style w:type="paragraph" w:customStyle="1" w:styleId="12">
    <w:name w:val="附录二级无"/>
    <w:qFormat/>
    <w:uiPriority w:val="0"/>
    <w:pPr>
      <w:widowControl/>
      <w:numPr>
        <w:ilvl w:val="3"/>
        <w:numId w:val="1"/>
      </w:numPr>
      <w:wordWrap w:val="0"/>
      <w:overflowPunct w:val="0"/>
      <w:autoSpaceDE w:val="0"/>
      <w:autoSpaceDN w:val="0"/>
      <w:ind w:left="0"/>
      <w:jc w:val="both"/>
      <w:textAlignment w:val="baseline"/>
      <w:outlineLvl w:val="3"/>
    </w:pPr>
    <w:rPr>
      <w:rFonts w:ascii="宋体" w:hAnsi="Times New Roman" w:eastAsia="宋体" w:cs="Times New Roman"/>
      <w:kern w:val="21"/>
      <w:sz w:val="21"/>
      <w:szCs w:val="21"/>
      <w:lang w:val="en-US" w:eastAsia="zh-CN" w:bidi="ar-SA"/>
    </w:rPr>
  </w:style>
  <w:style w:type="paragraph" w:customStyle="1" w:styleId="13">
    <w:name w:val="Body text|1"/>
    <w:basedOn w:val="1"/>
    <w:qFormat/>
    <w:uiPriority w:val="0"/>
    <w:pPr>
      <w:widowControl w:val="0"/>
      <w:shd w:val="clear" w:color="auto" w:fill="auto"/>
      <w:spacing w:line="391" w:lineRule="auto"/>
      <w:ind w:firstLine="400"/>
    </w:pPr>
    <w:rPr>
      <w:rFonts w:ascii="宋体" w:hAnsi="宋体" w:eastAsia="宋体" w:cs="宋体"/>
      <w:sz w:val="28"/>
      <w:szCs w:val="28"/>
      <w:u w:val="none"/>
      <w:shd w:val="clear" w:color="auto" w:fill="auto"/>
      <w:lang w:val="zh-TW" w:eastAsia="zh-TW" w:bidi="zh-TW"/>
    </w:rPr>
  </w:style>
  <w:style w:type="paragraph" w:customStyle="1" w:styleId="14">
    <w:name w:val="样式1"/>
    <w:basedOn w:val="1"/>
    <w:qFormat/>
    <w:uiPriority w:val="0"/>
    <w:pPr>
      <w:adjustRightInd w:val="0"/>
      <w:spacing w:line="420" w:lineRule="auto"/>
      <w:jc w:val="center"/>
    </w:pPr>
    <w:rPr>
      <w:rFonts w:ascii="宋体"/>
      <w:kern w:val="0"/>
      <w:sz w:val="24"/>
      <w:szCs w:val="20"/>
    </w:rPr>
  </w:style>
  <w:style w:type="paragraph" w:customStyle="1" w:styleId="15">
    <w:name w:val="正文2"/>
    <w:basedOn w:val="1"/>
    <w:qFormat/>
    <w:uiPriority w:val="0"/>
    <w:pPr>
      <w:adjustRightInd w:val="0"/>
      <w:spacing w:after="60" w:line="360" w:lineRule="atLeast"/>
      <w:ind w:left="57" w:right="57"/>
      <w:jc w:val="center"/>
      <w:textAlignment w:val="baseline"/>
    </w:pPr>
    <w:rPr>
      <w:rFonts w:ascii="宋体" w:hAnsi="Times New Roman"/>
      <w:kern w:val="0"/>
      <w:szCs w:val="20"/>
    </w:rPr>
  </w:style>
  <w:style w:type="character" w:customStyle="1" w:styleId="16">
    <w:name w:val="font11"/>
    <w:qFormat/>
    <w:uiPriority w:val="0"/>
    <w:rPr>
      <w:rFonts w:hint="eastAsia" w:ascii="微软雅黑" w:hAnsi="微软雅黑" w:eastAsia="微软雅黑" w:cs="微软雅黑"/>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Words>14339</Words>
  <Characters>14866</Characters>
  <Lines>1</Lines>
  <Paragraphs>1</Paragraphs>
  <TotalTime>1</TotalTime>
  <ScaleCrop>false</ScaleCrop>
  <LinksUpToDate>false</LinksUpToDate>
  <CharactersWithSpaces>15252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2025-04-03T23:06:00Z</dcterms:created>
  <dc:creator>刘继行</dc:creator>
  <cp:lastModifiedBy>刘继行</cp:lastModifiedBy>
  <cp:lastPrinted>2025-06-18T03:09:00Z</cp:lastPrinted>
  <dcterms:modified xsi:type="dcterms:W3CDTF">2025-08-22T07:18:15Z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E9B8FA05C4DFA39F2D909C6870B61FA2_43</vt:lpwstr>
  </property>
  <property fmtid="{D5CDD505-2E9C-101B-9397-08002B2CF9AE}" pid="4" name="KSOTemplateDocerSaveRecord">
    <vt:lpwstr>eyJoZGlkIjoiYzI3MGUyNjNlZjJmODVhN2U3MmNhMDYzNDAyNDNhZjciLCJ1c2VySWQiOiIxMjcxNDcxMzM3In0=</vt:lpwstr>
  </property>
</Properties>
</file>